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A1EB3" w14:textId="77777777" w:rsidR="00BE122A" w:rsidRPr="00547F0D" w:rsidRDefault="00BE122A" w:rsidP="00376EAD">
      <w:pPr>
        <w:ind w:left="360" w:right="360"/>
        <w:rPr>
          <w:rFonts w:asciiTheme="majorHAnsi" w:hAnsiTheme="majorHAnsi"/>
          <w:sz w:val="21"/>
          <w:szCs w:val="21"/>
        </w:rPr>
      </w:pPr>
      <w:r w:rsidRPr="00547F0D">
        <w:rPr>
          <w:rFonts w:asciiTheme="majorHAnsi" w:hAnsiTheme="majorHAnsi"/>
          <w:noProof/>
          <w:color w:val="003366"/>
          <w:sz w:val="21"/>
          <w:szCs w:val="21"/>
        </w:rPr>
        <w:drawing>
          <wp:anchor distT="0" distB="0" distL="114300" distR="114300" simplePos="0" relativeHeight="251660800" behindDoc="0" locked="0" layoutInCell="1" allowOverlap="1" wp14:anchorId="77422459" wp14:editId="3F7967C3">
            <wp:simplePos x="0" y="0"/>
            <wp:positionH relativeFrom="margin">
              <wp:align>center</wp:align>
            </wp:positionH>
            <wp:positionV relativeFrom="paragraph">
              <wp:posOffset>0</wp:posOffset>
            </wp:positionV>
            <wp:extent cx="2773680" cy="466090"/>
            <wp:effectExtent l="0" t="0" r="7620" b="0"/>
            <wp:wrapTight wrapText="bothSides">
              <wp:wrapPolygon edited="0">
                <wp:start x="0" y="0"/>
                <wp:lineTo x="0" y="20305"/>
                <wp:lineTo x="21511" y="20305"/>
                <wp:lineTo x="2151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BBA_Logo_4cp_30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73680" cy="466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89C62" w14:textId="77777777" w:rsidR="00BE122A" w:rsidRPr="00547F0D" w:rsidRDefault="00BE122A" w:rsidP="00376EAD">
      <w:pPr>
        <w:ind w:left="360" w:right="360"/>
        <w:rPr>
          <w:rFonts w:asciiTheme="majorHAnsi" w:hAnsiTheme="majorHAnsi"/>
          <w:sz w:val="21"/>
          <w:szCs w:val="21"/>
        </w:rPr>
      </w:pPr>
    </w:p>
    <w:p w14:paraId="28942FE6" w14:textId="77777777" w:rsidR="00BE122A" w:rsidRPr="00547F0D" w:rsidRDefault="009776D2" w:rsidP="00376EAD">
      <w:pPr>
        <w:ind w:left="360" w:right="360"/>
        <w:rPr>
          <w:rFonts w:asciiTheme="majorHAnsi" w:hAnsiTheme="majorHAnsi"/>
          <w:sz w:val="21"/>
          <w:szCs w:val="21"/>
        </w:rPr>
      </w:pPr>
      <w:r w:rsidRPr="00547F0D">
        <w:rPr>
          <w:rFonts w:asciiTheme="majorHAnsi" w:hAnsiTheme="majorHAnsi"/>
          <w:noProof/>
          <w:sz w:val="21"/>
          <w:szCs w:val="21"/>
        </w:rPr>
        <mc:AlternateContent>
          <mc:Choice Requires="wps">
            <w:drawing>
              <wp:anchor distT="0" distB="0" distL="114300" distR="114300" simplePos="0" relativeHeight="251657728" behindDoc="0" locked="0" layoutInCell="1" allowOverlap="1" wp14:anchorId="084447B0" wp14:editId="3E7ED08E">
                <wp:simplePos x="0" y="0"/>
                <wp:positionH relativeFrom="margin">
                  <wp:align>center</wp:align>
                </wp:positionH>
                <wp:positionV relativeFrom="paragraph">
                  <wp:posOffset>16510</wp:posOffset>
                </wp:positionV>
                <wp:extent cx="2894965" cy="628650"/>
                <wp:effectExtent l="0" t="0" r="635"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965"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F625A5" w14:textId="77777777" w:rsidR="002C5F13" w:rsidRDefault="002C5F13" w:rsidP="009B29EB">
                            <w:pPr>
                              <w:jc w:val="center"/>
                              <w:rPr>
                                <w:rFonts w:ascii="Arial" w:hAnsi="Arial" w:cs="Arial"/>
                                <w:color w:val="003366"/>
                                <w:sz w:val="16"/>
                                <w:szCs w:val="16"/>
                              </w:rPr>
                            </w:pPr>
                          </w:p>
                          <w:p w14:paraId="5C0F138A" w14:textId="77777777" w:rsidR="002C5F13" w:rsidRPr="00BE122A" w:rsidRDefault="002C5F13" w:rsidP="009B29EB">
                            <w:pPr>
                              <w:jc w:val="center"/>
                              <w:rPr>
                                <w:rFonts w:ascii="Arial" w:hAnsi="Arial" w:cs="Arial"/>
                                <w:i/>
                                <w:color w:val="003366"/>
                                <w:sz w:val="16"/>
                                <w:szCs w:val="16"/>
                              </w:rPr>
                            </w:pP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p>
                          <w:p w14:paraId="496D84DA" w14:textId="77777777" w:rsidR="002C5F13" w:rsidRPr="00FD4138" w:rsidRDefault="002C5F13" w:rsidP="009B29EB">
                            <w:pPr>
                              <w:jc w:val="center"/>
                              <w:rPr>
                                <w:rFonts w:ascii="Calibri" w:hAnsi="Calibri" w:cs="Arial"/>
                                <w:color w:val="003366"/>
                                <w:sz w:val="16"/>
                                <w:szCs w:val="16"/>
                              </w:rPr>
                            </w:pPr>
                            <w:r>
                              <w:rPr>
                                <w:rFonts w:ascii="Calibri" w:hAnsi="Calibri" w:cs="Arial"/>
                                <w:color w:val="003366"/>
                                <w:sz w:val="16"/>
                                <w:szCs w:val="16"/>
                              </w:rPr>
                              <w:t>1551</w:t>
                            </w:r>
                            <w:r w:rsidRPr="00FD4138">
                              <w:rPr>
                                <w:rFonts w:ascii="Calibri" w:hAnsi="Calibri" w:cs="Arial"/>
                                <w:color w:val="003366"/>
                                <w:sz w:val="16"/>
                                <w:szCs w:val="16"/>
                              </w:rPr>
                              <w:t xml:space="preserve"> Eastlake Avenue East </w:t>
                            </w:r>
                            <w:r w:rsidR="00461CA4">
                              <w:rPr>
                                <w:rFonts w:ascii="Arial" w:hAnsi="Arial" w:cs="Arial"/>
                                <w:color w:val="003366"/>
                                <w:sz w:val="16"/>
                                <w:szCs w:val="16"/>
                              </w:rPr>
                              <w:t>*</w:t>
                            </w:r>
                            <w:r w:rsidR="00F474DC">
                              <w:rPr>
                                <w:rFonts w:ascii="Arial" w:hAnsi="Arial" w:cs="Arial"/>
                                <w:color w:val="003366"/>
                                <w:sz w:val="16"/>
                                <w:szCs w:val="16"/>
                              </w:rPr>
                              <w:t xml:space="preserve"> </w:t>
                            </w:r>
                            <w:r w:rsidRPr="00FD4138">
                              <w:rPr>
                                <w:rFonts w:ascii="Calibri" w:hAnsi="Calibri" w:cs="Arial"/>
                                <w:color w:val="003366"/>
                                <w:sz w:val="16"/>
                                <w:szCs w:val="16"/>
                              </w:rPr>
                              <w:t xml:space="preserve">Suite </w:t>
                            </w:r>
                            <w:r>
                              <w:rPr>
                                <w:rFonts w:ascii="Calibri" w:hAnsi="Calibri" w:cs="Arial"/>
                                <w:color w:val="003366"/>
                                <w:sz w:val="16"/>
                                <w:szCs w:val="16"/>
                              </w:rPr>
                              <w:t>3</w:t>
                            </w:r>
                            <w:r w:rsidRPr="00FD4138">
                              <w:rPr>
                                <w:rFonts w:ascii="Calibri" w:hAnsi="Calibri" w:cs="Arial"/>
                                <w:color w:val="003366"/>
                                <w:sz w:val="16"/>
                                <w:szCs w:val="16"/>
                              </w:rPr>
                              <w:t xml:space="preserve">00 </w:t>
                            </w:r>
                            <w:r w:rsidR="00461CA4">
                              <w:rPr>
                                <w:rFonts w:ascii="Arial" w:hAnsi="Arial" w:cs="Arial"/>
                                <w:color w:val="003366"/>
                                <w:sz w:val="16"/>
                                <w:szCs w:val="16"/>
                              </w:rPr>
                              <w:t>*</w:t>
                            </w:r>
                            <w:r w:rsidRPr="00FD4138">
                              <w:rPr>
                                <w:rFonts w:ascii="Calibri" w:hAnsi="Calibri" w:cs="Arial"/>
                                <w:color w:val="003366"/>
                                <w:sz w:val="16"/>
                                <w:szCs w:val="16"/>
                              </w:rPr>
                              <w:t xml:space="preserve"> Seattle, WA </w:t>
                            </w:r>
                            <w:r w:rsidR="00461CA4">
                              <w:rPr>
                                <w:rFonts w:ascii="Arial" w:hAnsi="Arial" w:cs="Arial"/>
                                <w:color w:val="003366"/>
                                <w:sz w:val="16"/>
                                <w:szCs w:val="16"/>
                              </w:rPr>
                              <w:t>*</w:t>
                            </w:r>
                            <w:r w:rsidRPr="00FD4138">
                              <w:rPr>
                                <w:rFonts w:ascii="Calibri" w:hAnsi="Calibri" w:cs="Arial"/>
                                <w:color w:val="003366"/>
                                <w:sz w:val="16"/>
                                <w:szCs w:val="16"/>
                              </w:rPr>
                              <w:t xml:space="preserve"> 98102</w:t>
                            </w:r>
                          </w:p>
                          <w:p w14:paraId="098E725F" w14:textId="77777777" w:rsidR="002C5F13" w:rsidRPr="00FD4138" w:rsidRDefault="002C5F13" w:rsidP="009B29EB">
                            <w:pPr>
                              <w:jc w:val="center"/>
                              <w:rPr>
                                <w:rFonts w:ascii="Calibri" w:hAnsi="Calibri" w:cs="Arial"/>
                                <w:color w:val="003366"/>
                                <w:sz w:val="16"/>
                                <w:szCs w:val="16"/>
                              </w:rPr>
                            </w:pPr>
                            <w:r w:rsidRPr="00FD4138">
                              <w:rPr>
                                <w:rFonts w:ascii="Calibri" w:hAnsi="Calibri" w:cs="Arial"/>
                                <w:color w:val="003366"/>
                                <w:sz w:val="16"/>
                                <w:szCs w:val="16"/>
                              </w:rPr>
                              <w:t>(</w:t>
                            </w:r>
                            <w:r>
                              <w:rPr>
                                <w:rFonts w:ascii="Calibri" w:hAnsi="Calibri" w:cs="Arial"/>
                                <w:color w:val="003366"/>
                                <w:sz w:val="16"/>
                                <w:szCs w:val="16"/>
                              </w:rPr>
                              <w:t>206) 456-9567</w:t>
                            </w:r>
                            <w:r w:rsidRPr="00FD4138">
                              <w:rPr>
                                <w:rFonts w:ascii="Calibri" w:hAnsi="Calibri" w:cs="Arial"/>
                                <w:color w:val="003366"/>
                                <w:sz w:val="16"/>
                                <w:szCs w:val="16"/>
                              </w:rPr>
                              <w:t xml:space="preserve"> </w:t>
                            </w:r>
                            <w:r w:rsidR="00461CA4">
                              <w:rPr>
                                <w:rFonts w:ascii="Arial" w:hAnsi="Arial" w:cs="Arial"/>
                                <w:color w:val="003366"/>
                                <w:sz w:val="16"/>
                                <w:szCs w:val="16"/>
                              </w:rPr>
                              <w:t>*</w:t>
                            </w:r>
                            <w:r>
                              <w:rPr>
                                <w:rFonts w:ascii="Calibri" w:hAnsi="Calibri" w:cs="Arial"/>
                                <w:color w:val="003366"/>
                                <w:sz w:val="16"/>
                                <w:szCs w:val="16"/>
                              </w:rPr>
                              <w:t xml:space="preserve"> (206) 456-9561</w:t>
                            </w:r>
                            <w:r w:rsidRPr="00FD4138">
                              <w:rPr>
                                <w:rFonts w:ascii="Calibri" w:hAnsi="Calibri" w:cs="Arial"/>
                                <w:color w:val="003366"/>
                                <w:sz w:val="16"/>
                                <w:szCs w:val="16"/>
                              </w:rPr>
                              <w:t xml:space="preserve"> Fax </w:t>
                            </w:r>
                            <w:r w:rsidR="00461CA4">
                              <w:rPr>
                                <w:rFonts w:ascii="Arial" w:hAnsi="Arial" w:cs="Arial"/>
                                <w:color w:val="003366"/>
                                <w:sz w:val="16"/>
                                <w:szCs w:val="16"/>
                              </w:rPr>
                              <w:t>*</w:t>
                            </w:r>
                            <w:r w:rsidRPr="00FD4138">
                              <w:rPr>
                                <w:rFonts w:ascii="Calibri" w:hAnsi="Calibri" w:cs="Arial"/>
                                <w:color w:val="003366"/>
                                <w:sz w:val="16"/>
                                <w:szCs w:val="16"/>
                              </w:rPr>
                              <w:t xml:space="preserve"> www.</w:t>
                            </w:r>
                            <w:r w:rsidR="0059719F">
                              <w:rPr>
                                <w:rFonts w:ascii="Calibri" w:hAnsi="Calibri" w:cs="Arial"/>
                                <w:color w:val="003366"/>
                                <w:sz w:val="16"/>
                                <w:szCs w:val="16"/>
                              </w:rPr>
                              <w:t>LifeScienceWA</w:t>
                            </w:r>
                            <w:r w:rsidRPr="00FD4138">
                              <w:rPr>
                                <w:rFonts w:ascii="Calibri" w:hAnsi="Calibri" w:cs="Arial"/>
                                <w:color w:val="003366"/>
                                <w:sz w:val="16"/>
                                <w:szCs w:val="16"/>
                              </w:rPr>
                              <w:t>.org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447B0" id="_x0000_t202" coordsize="21600,21600" o:spt="202" path="m,l,21600r21600,l21600,xe">
                <v:stroke joinstyle="miter"/>
                <v:path gradientshapeok="t" o:connecttype="rect"/>
              </v:shapetype>
              <v:shape id="Text Box 3" o:spid="_x0000_s1026" type="#_x0000_t202" style="position:absolute;left:0;text-align:left;margin-left:0;margin-top:1.3pt;width:227.95pt;height:49.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" stroked="f">
                <v:textbox>
                  <w:txbxContent>
                    <w:p w14:paraId="76F625A5" w14:textId="77777777" w:rsidR="002C5F13" w:rsidRDefault="002C5F13" w:rsidP="009B29EB">
                      <w:pPr>
                        <w:jc w:val="center"/>
                        <w:rPr>
                          <w:rFonts w:ascii="Arial" w:hAnsi="Arial" w:cs="Arial"/>
                          <w:color w:val="003366"/>
                          <w:sz w:val="16"/>
                          <w:szCs w:val="16"/>
                        </w:rPr>
                      </w:pPr>
                    </w:p>
                    <w:p w14:paraId="5C0F138A" w14:textId="77777777" w:rsidR="002C5F13" w:rsidRPr="00BE122A" w:rsidRDefault="002C5F13" w:rsidP="009B29EB">
                      <w:pPr>
                        <w:jc w:val="center"/>
                        <w:rPr>
                          <w:rFonts w:ascii="Arial" w:hAnsi="Arial" w:cs="Arial"/>
                          <w:i/>
                          <w:color w:val="003366"/>
                          <w:sz w:val="16"/>
                          <w:szCs w:val="16"/>
                        </w:rPr>
                      </w:pP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r w:rsidRPr="00BE122A">
                        <w:rPr>
                          <w:rFonts w:ascii="Arial" w:hAnsi="Arial" w:cs="Arial"/>
                          <w:i/>
                          <w:vanish/>
                          <w:color w:val="003366"/>
                          <w:sz w:val="16"/>
                          <w:szCs w:val="16"/>
                        </w:rPr>
                        <w:pgNum/>
                      </w:r>
                    </w:p>
                    <w:p w14:paraId="496D84DA" w14:textId="77777777" w:rsidR="002C5F13" w:rsidRPr="00FD4138" w:rsidRDefault="002C5F13" w:rsidP="009B29EB">
                      <w:pPr>
                        <w:jc w:val="center"/>
                        <w:rPr>
                          <w:rFonts w:ascii="Calibri" w:hAnsi="Calibri" w:cs="Arial"/>
                          <w:color w:val="003366"/>
                          <w:sz w:val="16"/>
                          <w:szCs w:val="16"/>
                        </w:rPr>
                      </w:pPr>
                      <w:r>
                        <w:rPr>
                          <w:rFonts w:ascii="Calibri" w:hAnsi="Calibri" w:cs="Arial"/>
                          <w:color w:val="003366"/>
                          <w:sz w:val="16"/>
                          <w:szCs w:val="16"/>
                        </w:rPr>
                        <w:t>1551</w:t>
                      </w:r>
                      <w:r w:rsidRPr="00FD4138">
                        <w:rPr>
                          <w:rFonts w:ascii="Calibri" w:hAnsi="Calibri" w:cs="Arial"/>
                          <w:color w:val="003366"/>
                          <w:sz w:val="16"/>
                          <w:szCs w:val="16"/>
                        </w:rPr>
                        <w:t xml:space="preserve"> Eastlake Avenue East </w:t>
                      </w:r>
                      <w:r w:rsidR="00461CA4">
                        <w:rPr>
                          <w:rFonts w:ascii="Arial" w:hAnsi="Arial" w:cs="Arial"/>
                          <w:color w:val="003366"/>
                          <w:sz w:val="16"/>
                          <w:szCs w:val="16"/>
                        </w:rPr>
                        <w:t>*</w:t>
                      </w:r>
                      <w:r w:rsidR="00F474DC">
                        <w:rPr>
                          <w:rFonts w:ascii="Arial" w:hAnsi="Arial" w:cs="Arial"/>
                          <w:color w:val="003366"/>
                          <w:sz w:val="16"/>
                          <w:szCs w:val="16"/>
                        </w:rPr>
                        <w:t xml:space="preserve"> </w:t>
                      </w:r>
                      <w:r w:rsidRPr="00FD4138">
                        <w:rPr>
                          <w:rFonts w:ascii="Calibri" w:hAnsi="Calibri" w:cs="Arial"/>
                          <w:color w:val="003366"/>
                          <w:sz w:val="16"/>
                          <w:szCs w:val="16"/>
                        </w:rPr>
                        <w:t xml:space="preserve">Suite </w:t>
                      </w:r>
                      <w:r>
                        <w:rPr>
                          <w:rFonts w:ascii="Calibri" w:hAnsi="Calibri" w:cs="Arial"/>
                          <w:color w:val="003366"/>
                          <w:sz w:val="16"/>
                          <w:szCs w:val="16"/>
                        </w:rPr>
                        <w:t>3</w:t>
                      </w:r>
                      <w:r w:rsidRPr="00FD4138">
                        <w:rPr>
                          <w:rFonts w:ascii="Calibri" w:hAnsi="Calibri" w:cs="Arial"/>
                          <w:color w:val="003366"/>
                          <w:sz w:val="16"/>
                          <w:szCs w:val="16"/>
                        </w:rPr>
                        <w:t xml:space="preserve">00 </w:t>
                      </w:r>
                      <w:r w:rsidR="00461CA4">
                        <w:rPr>
                          <w:rFonts w:ascii="Arial" w:hAnsi="Arial" w:cs="Arial"/>
                          <w:color w:val="003366"/>
                          <w:sz w:val="16"/>
                          <w:szCs w:val="16"/>
                        </w:rPr>
                        <w:t>*</w:t>
                      </w:r>
                      <w:r w:rsidRPr="00FD4138">
                        <w:rPr>
                          <w:rFonts w:ascii="Calibri" w:hAnsi="Calibri" w:cs="Arial"/>
                          <w:color w:val="003366"/>
                          <w:sz w:val="16"/>
                          <w:szCs w:val="16"/>
                        </w:rPr>
                        <w:t xml:space="preserve"> Seattle, WA </w:t>
                      </w:r>
                      <w:r w:rsidR="00461CA4">
                        <w:rPr>
                          <w:rFonts w:ascii="Arial" w:hAnsi="Arial" w:cs="Arial"/>
                          <w:color w:val="003366"/>
                          <w:sz w:val="16"/>
                          <w:szCs w:val="16"/>
                        </w:rPr>
                        <w:t>*</w:t>
                      </w:r>
                      <w:r w:rsidRPr="00FD4138">
                        <w:rPr>
                          <w:rFonts w:ascii="Calibri" w:hAnsi="Calibri" w:cs="Arial"/>
                          <w:color w:val="003366"/>
                          <w:sz w:val="16"/>
                          <w:szCs w:val="16"/>
                        </w:rPr>
                        <w:t xml:space="preserve"> 98102</w:t>
                      </w:r>
                    </w:p>
                    <w:p w14:paraId="098E725F" w14:textId="77777777" w:rsidR="002C5F13" w:rsidRPr="00FD4138" w:rsidRDefault="002C5F13" w:rsidP="009B29EB">
                      <w:pPr>
                        <w:jc w:val="center"/>
                        <w:rPr>
                          <w:rFonts w:ascii="Calibri" w:hAnsi="Calibri" w:cs="Arial"/>
                          <w:color w:val="003366"/>
                          <w:sz w:val="16"/>
                          <w:szCs w:val="16"/>
                        </w:rPr>
                      </w:pPr>
                      <w:r w:rsidRPr="00FD4138">
                        <w:rPr>
                          <w:rFonts w:ascii="Calibri" w:hAnsi="Calibri" w:cs="Arial"/>
                          <w:color w:val="003366"/>
                          <w:sz w:val="16"/>
                          <w:szCs w:val="16"/>
                        </w:rPr>
                        <w:t>(</w:t>
                      </w:r>
                      <w:r>
                        <w:rPr>
                          <w:rFonts w:ascii="Calibri" w:hAnsi="Calibri" w:cs="Arial"/>
                          <w:color w:val="003366"/>
                          <w:sz w:val="16"/>
                          <w:szCs w:val="16"/>
                        </w:rPr>
                        <w:t>206) 456-9567</w:t>
                      </w:r>
                      <w:r w:rsidRPr="00FD4138">
                        <w:rPr>
                          <w:rFonts w:ascii="Calibri" w:hAnsi="Calibri" w:cs="Arial"/>
                          <w:color w:val="003366"/>
                          <w:sz w:val="16"/>
                          <w:szCs w:val="16"/>
                        </w:rPr>
                        <w:t xml:space="preserve"> </w:t>
                      </w:r>
                      <w:r w:rsidR="00461CA4">
                        <w:rPr>
                          <w:rFonts w:ascii="Arial" w:hAnsi="Arial" w:cs="Arial"/>
                          <w:color w:val="003366"/>
                          <w:sz w:val="16"/>
                          <w:szCs w:val="16"/>
                        </w:rPr>
                        <w:t>*</w:t>
                      </w:r>
                      <w:r>
                        <w:rPr>
                          <w:rFonts w:ascii="Calibri" w:hAnsi="Calibri" w:cs="Arial"/>
                          <w:color w:val="003366"/>
                          <w:sz w:val="16"/>
                          <w:szCs w:val="16"/>
                        </w:rPr>
                        <w:t xml:space="preserve"> (206) 456-9561</w:t>
                      </w:r>
                      <w:r w:rsidRPr="00FD4138">
                        <w:rPr>
                          <w:rFonts w:ascii="Calibri" w:hAnsi="Calibri" w:cs="Arial"/>
                          <w:color w:val="003366"/>
                          <w:sz w:val="16"/>
                          <w:szCs w:val="16"/>
                        </w:rPr>
                        <w:t xml:space="preserve"> Fax </w:t>
                      </w:r>
                      <w:r w:rsidR="00461CA4">
                        <w:rPr>
                          <w:rFonts w:ascii="Arial" w:hAnsi="Arial" w:cs="Arial"/>
                          <w:color w:val="003366"/>
                          <w:sz w:val="16"/>
                          <w:szCs w:val="16"/>
                        </w:rPr>
                        <w:t>*</w:t>
                      </w:r>
                      <w:r w:rsidRPr="00FD4138">
                        <w:rPr>
                          <w:rFonts w:ascii="Calibri" w:hAnsi="Calibri" w:cs="Arial"/>
                          <w:color w:val="003366"/>
                          <w:sz w:val="16"/>
                          <w:szCs w:val="16"/>
                        </w:rPr>
                        <w:t xml:space="preserve"> www.</w:t>
                      </w:r>
                      <w:r w:rsidR="0059719F">
                        <w:rPr>
                          <w:rFonts w:ascii="Calibri" w:hAnsi="Calibri" w:cs="Arial"/>
                          <w:color w:val="003366"/>
                          <w:sz w:val="16"/>
                          <w:szCs w:val="16"/>
                        </w:rPr>
                        <w:t>LifeScienceWA</w:t>
                      </w:r>
                      <w:r w:rsidRPr="00FD4138">
                        <w:rPr>
                          <w:rFonts w:ascii="Calibri" w:hAnsi="Calibri" w:cs="Arial"/>
                          <w:color w:val="003366"/>
                          <w:sz w:val="16"/>
                          <w:szCs w:val="16"/>
                        </w:rPr>
                        <w:t>.org</w:t>
                      </w:r>
                    </w:p>
                  </w:txbxContent>
                </v:textbox>
                <w10:wrap type="square" anchorx="margin"/>
              </v:shape>
            </w:pict>
          </mc:Fallback>
        </mc:AlternateContent>
      </w:r>
    </w:p>
    <w:p w14:paraId="38C64B74" w14:textId="77777777" w:rsidR="00BE122A" w:rsidRPr="00547F0D" w:rsidRDefault="00BE122A" w:rsidP="00376EAD">
      <w:pPr>
        <w:ind w:left="360" w:right="360"/>
        <w:rPr>
          <w:rFonts w:asciiTheme="majorHAnsi" w:hAnsiTheme="majorHAnsi"/>
          <w:sz w:val="21"/>
          <w:szCs w:val="21"/>
        </w:rPr>
      </w:pPr>
      <w:r w:rsidRPr="00547F0D">
        <w:rPr>
          <w:rFonts w:asciiTheme="majorHAnsi" w:hAnsiTheme="majorHAnsi"/>
          <w:sz w:val="21"/>
          <w:szCs w:val="21"/>
        </w:rPr>
        <w:t xml:space="preserve"> </w:t>
      </w:r>
    </w:p>
    <w:p w14:paraId="2A4969AC" w14:textId="77777777" w:rsidR="00BE122A" w:rsidRPr="00547F0D" w:rsidRDefault="00BE122A" w:rsidP="00376EAD">
      <w:pPr>
        <w:ind w:left="360" w:right="360"/>
        <w:rPr>
          <w:rFonts w:asciiTheme="majorHAnsi" w:hAnsiTheme="majorHAnsi"/>
          <w:sz w:val="21"/>
          <w:szCs w:val="21"/>
        </w:rPr>
      </w:pPr>
    </w:p>
    <w:p w14:paraId="5D67BEBA" w14:textId="77777777" w:rsidR="00BE122A" w:rsidRPr="00547F0D" w:rsidRDefault="00BE122A" w:rsidP="00376EAD">
      <w:pPr>
        <w:ind w:left="360" w:right="360"/>
        <w:rPr>
          <w:rFonts w:asciiTheme="majorHAnsi" w:hAnsiTheme="majorHAnsi"/>
          <w:sz w:val="21"/>
          <w:szCs w:val="21"/>
        </w:rPr>
      </w:pPr>
    </w:p>
    <w:p w14:paraId="700CDE34" w14:textId="77777777" w:rsidR="00351E1F" w:rsidRPr="00AA19AB" w:rsidRDefault="00351E1F" w:rsidP="00351E1F">
      <w:pPr>
        <w:rPr>
          <w:rFonts w:asciiTheme="majorHAnsi" w:hAnsiTheme="majorHAnsi"/>
          <w:sz w:val="22"/>
          <w:szCs w:val="22"/>
        </w:rPr>
      </w:pPr>
    </w:p>
    <w:p w14:paraId="7A8F2EE7" w14:textId="5FC2066D" w:rsidR="00173864" w:rsidRPr="00AA19AB" w:rsidRDefault="00302064" w:rsidP="00302064">
      <w:pPr>
        <w:pStyle w:val="BodyText"/>
        <w:spacing w:before="91"/>
        <w:rPr>
          <w:rFonts w:asciiTheme="majorHAnsi" w:hAnsiTheme="majorHAnsi" w:cstheme="minorHAnsi"/>
          <w:sz w:val="22"/>
          <w:szCs w:val="22"/>
        </w:rPr>
      </w:pPr>
      <w:r w:rsidRPr="00AA19AB">
        <w:rPr>
          <w:rFonts w:asciiTheme="majorHAnsi" w:hAnsiTheme="majorHAnsi" w:cstheme="minorHAnsi"/>
          <w:sz w:val="22"/>
          <w:szCs w:val="22"/>
        </w:rPr>
        <w:t xml:space="preserve">December </w:t>
      </w:r>
      <w:r w:rsidR="00AA19AB" w:rsidRPr="00AA19AB">
        <w:rPr>
          <w:rFonts w:asciiTheme="majorHAnsi" w:hAnsiTheme="majorHAnsi" w:cstheme="minorHAnsi"/>
          <w:sz w:val="22"/>
          <w:szCs w:val="22"/>
        </w:rPr>
        <w:t>9</w:t>
      </w:r>
      <w:r w:rsidRPr="00AA19AB">
        <w:rPr>
          <w:rFonts w:asciiTheme="majorHAnsi" w:hAnsiTheme="majorHAnsi" w:cstheme="minorHAnsi"/>
          <w:sz w:val="22"/>
          <w:szCs w:val="22"/>
        </w:rPr>
        <w:t>, 2020</w:t>
      </w:r>
    </w:p>
    <w:p w14:paraId="6DCB4C27" w14:textId="317D6DC6" w:rsidR="00302064" w:rsidRPr="00AA19AB" w:rsidRDefault="00302064" w:rsidP="00302064">
      <w:pPr>
        <w:pStyle w:val="BodyText"/>
        <w:spacing w:before="91"/>
        <w:rPr>
          <w:rFonts w:asciiTheme="majorHAnsi" w:hAnsiTheme="majorHAnsi" w:cstheme="minorHAnsi"/>
          <w:sz w:val="22"/>
          <w:szCs w:val="22"/>
        </w:rPr>
      </w:pPr>
    </w:p>
    <w:p w14:paraId="2337302A" w14:textId="71F5FC41" w:rsidR="00AA19AB" w:rsidRPr="00AA19AB" w:rsidRDefault="00AA19AB" w:rsidP="00AA19AB">
      <w:pPr>
        <w:rPr>
          <w:rFonts w:asciiTheme="majorHAnsi" w:hAnsiTheme="majorHAnsi" w:cs="Arial"/>
          <w:color w:val="000000"/>
          <w:sz w:val="22"/>
          <w:szCs w:val="22"/>
          <w:shd w:val="clear" w:color="auto" w:fill="FFFFFF"/>
        </w:rPr>
      </w:pPr>
      <w:r w:rsidRPr="00AA19AB">
        <w:rPr>
          <w:rStyle w:val="Strong"/>
          <w:rFonts w:asciiTheme="majorHAnsi" w:hAnsiTheme="majorHAnsi" w:cs="Arial"/>
          <w:b w:val="0"/>
          <w:bCs w:val="0"/>
          <w:color w:val="000000"/>
          <w:sz w:val="22"/>
          <w:szCs w:val="22"/>
          <w:bdr w:val="none" w:sz="0" w:space="0" w:color="auto" w:frame="1"/>
        </w:rPr>
        <w:t>Michele Roberts</w:t>
      </w:r>
      <w:r w:rsidRPr="00AA19AB">
        <w:rPr>
          <w:rFonts w:asciiTheme="majorHAnsi" w:hAnsiTheme="majorHAnsi" w:cs="Arial"/>
          <w:color w:val="000000"/>
          <w:sz w:val="22"/>
          <w:szCs w:val="22"/>
        </w:rPr>
        <w:br/>
      </w:r>
      <w:r w:rsidRPr="00AA19AB">
        <w:rPr>
          <w:rFonts w:asciiTheme="majorHAnsi" w:hAnsiTheme="majorHAnsi" w:cs="Arial"/>
          <w:color w:val="000000"/>
          <w:sz w:val="22"/>
          <w:szCs w:val="22"/>
          <w:shd w:val="clear" w:color="auto" w:fill="FFFFFF"/>
        </w:rPr>
        <w:t>Acting Assistant Secretary</w:t>
      </w:r>
    </w:p>
    <w:p w14:paraId="3A51994C" w14:textId="77777777" w:rsidR="00AA19AB" w:rsidRPr="00AA19AB" w:rsidRDefault="00AA19AB" w:rsidP="00AA19AB">
      <w:pPr>
        <w:rPr>
          <w:rFonts w:asciiTheme="majorHAnsi" w:hAnsiTheme="majorHAnsi"/>
          <w:sz w:val="22"/>
          <w:szCs w:val="22"/>
        </w:rPr>
      </w:pPr>
      <w:r w:rsidRPr="00AA19AB">
        <w:rPr>
          <w:rFonts w:asciiTheme="majorHAnsi" w:hAnsiTheme="majorHAnsi" w:cs="Arial"/>
          <w:color w:val="000000"/>
          <w:sz w:val="22"/>
          <w:szCs w:val="22"/>
          <w:shd w:val="clear" w:color="auto" w:fill="FFFFFF"/>
        </w:rPr>
        <w:t>Prevention and Community Health Division</w:t>
      </w:r>
      <w:r w:rsidRPr="00AA19AB">
        <w:rPr>
          <w:rStyle w:val="apple-converted-space"/>
          <w:rFonts w:asciiTheme="majorHAnsi" w:hAnsiTheme="majorHAnsi" w:cs="Arial"/>
          <w:color w:val="000000"/>
          <w:sz w:val="22"/>
          <w:szCs w:val="22"/>
          <w:shd w:val="clear" w:color="auto" w:fill="FFFFFF"/>
        </w:rPr>
        <w:t> </w:t>
      </w:r>
    </w:p>
    <w:p w14:paraId="04DB306B" w14:textId="01457391" w:rsidR="00AA19AB" w:rsidRPr="00AA19AB" w:rsidRDefault="00AA19AB" w:rsidP="00AA19AB">
      <w:pPr>
        <w:rPr>
          <w:rFonts w:asciiTheme="majorHAnsi" w:hAnsiTheme="majorHAnsi"/>
          <w:sz w:val="22"/>
          <w:szCs w:val="22"/>
        </w:rPr>
      </w:pPr>
      <w:r w:rsidRPr="00AA19AB">
        <w:rPr>
          <w:rFonts w:asciiTheme="majorHAnsi" w:hAnsiTheme="majorHAnsi"/>
          <w:sz w:val="22"/>
          <w:szCs w:val="22"/>
        </w:rPr>
        <w:t xml:space="preserve">Washington Department of Health </w:t>
      </w:r>
    </w:p>
    <w:p w14:paraId="3AB309CC" w14:textId="451FD9DE" w:rsidR="00302064" w:rsidRPr="00AA19AB" w:rsidRDefault="00EF2CC4" w:rsidP="00302064">
      <w:pPr>
        <w:pStyle w:val="BodyText"/>
        <w:spacing w:before="91"/>
        <w:rPr>
          <w:rFonts w:asciiTheme="majorHAnsi" w:hAnsiTheme="majorHAnsi" w:cstheme="minorHAnsi"/>
          <w:b/>
          <w:bCs/>
          <w:sz w:val="22"/>
          <w:szCs w:val="22"/>
        </w:rPr>
      </w:pPr>
      <w:r w:rsidRPr="00AA19AB">
        <w:rPr>
          <w:rFonts w:asciiTheme="majorHAnsi" w:hAnsiTheme="majorHAnsi" w:cstheme="minorHAnsi"/>
          <w:b/>
          <w:bCs/>
          <w:sz w:val="22"/>
          <w:szCs w:val="22"/>
        </w:rPr>
        <w:t xml:space="preserve"> </w:t>
      </w:r>
    </w:p>
    <w:p w14:paraId="2553B6A3" w14:textId="57FCA9EC" w:rsidR="00302064" w:rsidRPr="00AA19AB" w:rsidRDefault="00AA19AB" w:rsidP="00302064">
      <w:pPr>
        <w:spacing w:line="276" w:lineRule="auto"/>
        <w:jc w:val="both"/>
        <w:rPr>
          <w:rFonts w:asciiTheme="majorHAnsi" w:hAnsiTheme="majorHAnsi" w:cstheme="minorHAnsi"/>
          <w:sz w:val="22"/>
          <w:szCs w:val="22"/>
        </w:rPr>
      </w:pPr>
      <w:r w:rsidRPr="00AA19AB">
        <w:rPr>
          <w:rFonts w:asciiTheme="majorHAnsi" w:hAnsiTheme="majorHAnsi" w:cstheme="minorHAnsi"/>
          <w:sz w:val="22"/>
          <w:szCs w:val="22"/>
        </w:rPr>
        <w:t xml:space="preserve">Dear </w:t>
      </w:r>
      <w:r>
        <w:rPr>
          <w:rFonts w:asciiTheme="majorHAnsi" w:hAnsiTheme="majorHAnsi" w:cstheme="minorHAnsi"/>
          <w:sz w:val="22"/>
          <w:szCs w:val="22"/>
        </w:rPr>
        <w:t xml:space="preserve">Assistant </w:t>
      </w:r>
      <w:r w:rsidRPr="00AA19AB">
        <w:rPr>
          <w:rFonts w:asciiTheme="majorHAnsi" w:hAnsiTheme="majorHAnsi" w:cstheme="minorHAnsi"/>
          <w:sz w:val="22"/>
          <w:szCs w:val="22"/>
        </w:rPr>
        <w:t>Secretary Roberts,</w:t>
      </w:r>
    </w:p>
    <w:p w14:paraId="4D07F4B2" w14:textId="5FE7A1E3" w:rsidR="00AE7CC8" w:rsidRPr="002E4B8A" w:rsidRDefault="00AE7CC8" w:rsidP="00EC4832">
      <w:pPr>
        <w:spacing w:line="276" w:lineRule="auto"/>
        <w:jc w:val="both"/>
        <w:rPr>
          <w:rFonts w:asciiTheme="majorHAnsi" w:hAnsiTheme="majorHAnsi" w:cstheme="minorHAnsi"/>
          <w:sz w:val="22"/>
          <w:szCs w:val="22"/>
        </w:rPr>
      </w:pPr>
    </w:p>
    <w:p w14:paraId="36083FDA" w14:textId="27351050" w:rsidR="003E39C5" w:rsidRPr="002E4B8A" w:rsidRDefault="00C54205" w:rsidP="003E39C5">
      <w:pPr>
        <w:rPr>
          <w:rFonts w:asciiTheme="majorHAnsi" w:hAnsiTheme="majorHAnsi" w:cstheme="minorHAnsi"/>
          <w:sz w:val="22"/>
          <w:szCs w:val="22"/>
        </w:rPr>
      </w:pPr>
      <w:r w:rsidRPr="002E4B8A">
        <w:rPr>
          <w:rFonts w:asciiTheme="majorHAnsi" w:hAnsiTheme="majorHAnsi" w:cstheme="minorHAnsi"/>
          <w:sz w:val="22"/>
          <w:szCs w:val="22"/>
        </w:rPr>
        <w:t>Most of Washington’s nearly 40,000 life science employees are working safely from home.</w:t>
      </w:r>
      <w:r>
        <w:rPr>
          <w:rFonts w:asciiTheme="majorHAnsi" w:hAnsiTheme="majorHAnsi" w:cstheme="minorHAnsi"/>
          <w:sz w:val="22"/>
          <w:szCs w:val="22"/>
        </w:rPr>
        <w:t xml:space="preserve">  However, </w:t>
      </w:r>
      <w:r w:rsidR="001B6C0E">
        <w:rPr>
          <w:rFonts w:asciiTheme="majorHAnsi" w:hAnsiTheme="majorHAnsi" w:cstheme="minorHAnsi"/>
          <w:sz w:val="22"/>
          <w:szCs w:val="22"/>
        </w:rPr>
        <w:t xml:space="preserve">there are two specific groups </w:t>
      </w:r>
      <w:r w:rsidR="001B6C0E" w:rsidRPr="002E4B8A">
        <w:rPr>
          <w:rFonts w:asciiTheme="majorHAnsi" w:hAnsiTheme="majorHAnsi" w:cstheme="minorHAnsi"/>
          <w:sz w:val="22"/>
          <w:szCs w:val="22"/>
        </w:rPr>
        <w:t xml:space="preserve">of biotech and medical device employees who are either working with frontline medical workers or producing essential medical products </w:t>
      </w:r>
      <w:r w:rsidR="001B6C0E">
        <w:rPr>
          <w:rFonts w:asciiTheme="majorHAnsi" w:hAnsiTheme="majorHAnsi" w:cstheme="minorHAnsi"/>
          <w:sz w:val="22"/>
          <w:szCs w:val="22"/>
        </w:rPr>
        <w:t xml:space="preserve">that we feel should be </w:t>
      </w:r>
      <w:r w:rsidR="001B6C0E" w:rsidRPr="002E4B8A">
        <w:rPr>
          <w:rFonts w:asciiTheme="majorHAnsi" w:hAnsiTheme="majorHAnsi" w:cstheme="minorHAnsi"/>
          <w:sz w:val="22"/>
          <w:szCs w:val="22"/>
        </w:rPr>
        <w:t xml:space="preserve">priority recipients of </w:t>
      </w:r>
      <w:r w:rsidR="00F257E3">
        <w:rPr>
          <w:rFonts w:asciiTheme="majorHAnsi" w:hAnsiTheme="majorHAnsi" w:cstheme="minorHAnsi"/>
          <w:sz w:val="22"/>
          <w:szCs w:val="22"/>
        </w:rPr>
        <w:t xml:space="preserve">COVID-19 </w:t>
      </w:r>
      <w:r w:rsidR="001B6C0E" w:rsidRPr="002E4B8A">
        <w:rPr>
          <w:rFonts w:asciiTheme="majorHAnsi" w:hAnsiTheme="majorHAnsi" w:cstheme="minorHAnsi"/>
          <w:sz w:val="22"/>
          <w:szCs w:val="22"/>
        </w:rPr>
        <w:t>vaccines.</w:t>
      </w:r>
      <w:r w:rsidR="001B6C0E">
        <w:rPr>
          <w:rFonts w:asciiTheme="majorHAnsi" w:hAnsiTheme="majorHAnsi" w:cstheme="minorHAnsi"/>
          <w:sz w:val="22"/>
          <w:szCs w:val="22"/>
        </w:rPr>
        <w:t xml:space="preserve">  A</w:t>
      </w:r>
      <w:r w:rsidR="003E39C5" w:rsidRPr="002E4B8A">
        <w:rPr>
          <w:rFonts w:asciiTheme="majorHAnsi" w:hAnsiTheme="majorHAnsi" w:cstheme="minorHAnsi"/>
          <w:sz w:val="22"/>
          <w:szCs w:val="22"/>
        </w:rPr>
        <w:t>s the state plan for allocat</w:t>
      </w:r>
      <w:r w:rsidR="001B6C0E">
        <w:rPr>
          <w:rFonts w:asciiTheme="majorHAnsi" w:hAnsiTheme="majorHAnsi" w:cstheme="minorHAnsi"/>
          <w:sz w:val="22"/>
          <w:szCs w:val="22"/>
        </w:rPr>
        <w:t>ing</w:t>
      </w:r>
      <w:r w:rsidR="003E39C5" w:rsidRPr="002E4B8A">
        <w:rPr>
          <w:rFonts w:asciiTheme="majorHAnsi" w:hAnsiTheme="majorHAnsi" w:cstheme="minorHAnsi"/>
          <w:sz w:val="22"/>
          <w:szCs w:val="22"/>
        </w:rPr>
        <w:t xml:space="preserve"> COVID-19 vaccinations is formulated, Life Science Washington urges you to includ</w:t>
      </w:r>
      <w:r>
        <w:rPr>
          <w:rFonts w:asciiTheme="majorHAnsi" w:hAnsiTheme="majorHAnsi" w:cstheme="minorHAnsi"/>
          <w:sz w:val="22"/>
          <w:szCs w:val="22"/>
        </w:rPr>
        <w:t>e</w:t>
      </w:r>
      <w:r w:rsidR="001B6C0E">
        <w:rPr>
          <w:rFonts w:asciiTheme="majorHAnsi" w:hAnsiTheme="majorHAnsi" w:cstheme="minorHAnsi"/>
          <w:sz w:val="22"/>
          <w:szCs w:val="22"/>
        </w:rPr>
        <w:t xml:space="preserve"> these two groups of workers in the early </w:t>
      </w:r>
      <w:r w:rsidR="0025483C">
        <w:rPr>
          <w:rFonts w:asciiTheme="majorHAnsi" w:hAnsiTheme="majorHAnsi" w:cstheme="minorHAnsi"/>
          <w:sz w:val="22"/>
          <w:szCs w:val="22"/>
        </w:rPr>
        <w:t>p</w:t>
      </w:r>
      <w:r w:rsidR="001B6C0E">
        <w:rPr>
          <w:rFonts w:asciiTheme="majorHAnsi" w:hAnsiTheme="majorHAnsi" w:cstheme="minorHAnsi"/>
          <w:sz w:val="22"/>
          <w:szCs w:val="22"/>
        </w:rPr>
        <w:t xml:space="preserve">hases of the allocation plan.  </w:t>
      </w:r>
    </w:p>
    <w:p w14:paraId="37E45B32" w14:textId="77777777" w:rsidR="003E39C5" w:rsidRDefault="003E39C5" w:rsidP="003E39C5">
      <w:pPr>
        <w:rPr>
          <w:rFonts w:asciiTheme="majorHAnsi" w:hAnsiTheme="majorHAnsi" w:cstheme="minorHAnsi"/>
          <w:sz w:val="22"/>
          <w:szCs w:val="22"/>
        </w:rPr>
      </w:pPr>
    </w:p>
    <w:p w14:paraId="169ADF93" w14:textId="52299E24" w:rsidR="00D8796E" w:rsidRDefault="00D8796E" w:rsidP="003E39C5">
      <w:pPr>
        <w:rPr>
          <w:rFonts w:asciiTheme="majorHAnsi" w:hAnsiTheme="majorHAnsi" w:cstheme="minorHAnsi"/>
          <w:sz w:val="22"/>
          <w:szCs w:val="22"/>
        </w:rPr>
      </w:pPr>
      <w:r>
        <w:rPr>
          <w:rFonts w:asciiTheme="majorHAnsi" w:hAnsiTheme="majorHAnsi" w:cstheme="minorHAnsi"/>
          <w:sz w:val="22"/>
          <w:szCs w:val="22"/>
        </w:rPr>
        <w:t xml:space="preserve">First, there are a </w:t>
      </w:r>
      <w:r w:rsidR="003E39C5" w:rsidRPr="002E4B8A">
        <w:rPr>
          <w:rFonts w:asciiTheme="majorHAnsi" w:hAnsiTheme="majorHAnsi" w:cstheme="minorHAnsi"/>
          <w:sz w:val="22"/>
          <w:szCs w:val="22"/>
        </w:rPr>
        <w:t xml:space="preserve">small number of </w:t>
      </w:r>
      <w:r w:rsidR="00F257E3">
        <w:rPr>
          <w:rFonts w:asciiTheme="majorHAnsi" w:hAnsiTheme="majorHAnsi" w:cstheme="minorHAnsi"/>
          <w:sz w:val="22"/>
          <w:szCs w:val="22"/>
        </w:rPr>
        <w:t xml:space="preserve">uniquely </w:t>
      </w:r>
      <w:r w:rsidR="003E39C5" w:rsidRPr="002E4B8A">
        <w:rPr>
          <w:rFonts w:asciiTheme="majorHAnsi" w:hAnsiTheme="majorHAnsi" w:cstheme="minorHAnsi"/>
          <w:sz w:val="22"/>
          <w:szCs w:val="22"/>
        </w:rPr>
        <w:t>credentialed medical device workers</w:t>
      </w:r>
      <w:r w:rsidR="003E39C5">
        <w:rPr>
          <w:rFonts w:asciiTheme="majorHAnsi" w:hAnsiTheme="majorHAnsi" w:cstheme="minorHAnsi"/>
          <w:sz w:val="22"/>
          <w:szCs w:val="22"/>
        </w:rPr>
        <w:t xml:space="preserve">—referred to as </w:t>
      </w:r>
      <w:r w:rsidR="003E39C5" w:rsidRPr="00C54205">
        <w:rPr>
          <w:rFonts w:asciiTheme="majorHAnsi" w:hAnsiTheme="majorHAnsi" w:cstheme="minorHAnsi"/>
          <w:b/>
          <w:bCs/>
          <w:sz w:val="22"/>
          <w:szCs w:val="22"/>
        </w:rPr>
        <w:t>Health Care Industry Representatives</w:t>
      </w:r>
      <w:r w:rsidR="003E39C5">
        <w:rPr>
          <w:rFonts w:asciiTheme="majorHAnsi" w:hAnsiTheme="majorHAnsi" w:cstheme="minorHAnsi"/>
          <w:sz w:val="22"/>
          <w:szCs w:val="22"/>
        </w:rPr>
        <w:t>—</w:t>
      </w:r>
      <w:r w:rsidR="003E39C5" w:rsidRPr="002E4B8A">
        <w:rPr>
          <w:rFonts w:asciiTheme="majorHAnsi" w:hAnsiTheme="majorHAnsi" w:cstheme="minorHAnsi"/>
          <w:sz w:val="22"/>
          <w:szCs w:val="22"/>
        </w:rPr>
        <w:t xml:space="preserve">that work in hospitals alongside frontline healthcare workers </w:t>
      </w:r>
      <w:r>
        <w:rPr>
          <w:rFonts w:asciiTheme="majorHAnsi" w:hAnsiTheme="majorHAnsi" w:cstheme="minorHAnsi"/>
          <w:sz w:val="22"/>
          <w:szCs w:val="22"/>
        </w:rPr>
        <w:t xml:space="preserve">(and often travel between hospitals) </w:t>
      </w:r>
      <w:r w:rsidR="003E39C5" w:rsidRPr="002E4B8A">
        <w:rPr>
          <w:rFonts w:asciiTheme="majorHAnsi" w:hAnsiTheme="majorHAnsi" w:cstheme="minorHAnsi"/>
          <w:sz w:val="22"/>
          <w:szCs w:val="22"/>
        </w:rPr>
        <w:t xml:space="preserve">that we feel should be prioritized in the </w:t>
      </w:r>
      <w:r w:rsidR="003E39C5" w:rsidRPr="00C54205">
        <w:rPr>
          <w:rFonts w:asciiTheme="majorHAnsi" w:hAnsiTheme="majorHAnsi" w:cstheme="minorHAnsi"/>
          <w:b/>
          <w:bCs/>
          <w:sz w:val="22"/>
          <w:szCs w:val="22"/>
        </w:rPr>
        <w:t>Phase 1a</w:t>
      </w:r>
      <w:r w:rsidR="003E39C5" w:rsidRPr="002E4B8A">
        <w:rPr>
          <w:rFonts w:asciiTheme="majorHAnsi" w:hAnsiTheme="majorHAnsi" w:cstheme="minorHAnsi"/>
          <w:sz w:val="22"/>
          <w:szCs w:val="22"/>
        </w:rPr>
        <w:t xml:space="preserve"> vaccine allocat</w:t>
      </w:r>
      <w:r>
        <w:rPr>
          <w:rFonts w:asciiTheme="majorHAnsi" w:hAnsiTheme="majorHAnsi" w:cstheme="minorHAnsi"/>
          <w:sz w:val="22"/>
          <w:szCs w:val="22"/>
        </w:rPr>
        <w:t>ion</w:t>
      </w:r>
      <w:r w:rsidR="00260DE6">
        <w:rPr>
          <w:rFonts w:asciiTheme="majorHAnsi" w:hAnsiTheme="majorHAnsi" w:cstheme="minorHAnsi"/>
          <w:sz w:val="22"/>
          <w:szCs w:val="22"/>
        </w:rPr>
        <w:t>.</w:t>
      </w:r>
    </w:p>
    <w:p w14:paraId="0C89AA73" w14:textId="77777777" w:rsidR="00D8796E" w:rsidRDefault="00D8796E" w:rsidP="003E39C5">
      <w:pPr>
        <w:rPr>
          <w:rFonts w:asciiTheme="majorHAnsi" w:hAnsiTheme="majorHAnsi" w:cstheme="minorHAnsi"/>
          <w:sz w:val="22"/>
          <w:szCs w:val="22"/>
        </w:rPr>
      </w:pPr>
    </w:p>
    <w:p w14:paraId="0205A977" w14:textId="2C8DDA68" w:rsidR="003E39C5" w:rsidRPr="002E4B8A" w:rsidRDefault="00D8796E" w:rsidP="003E39C5">
      <w:pPr>
        <w:rPr>
          <w:rFonts w:asciiTheme="majorHAnsi" w:hAnsiTheme="majorHAnsi" w:cstheme="minorHAnsi"/>
          <w:sz w:val="22"/>
          <w:szCs w:val="22"/>
        </w:rPr>
      </w:pPr>
      <w:r>
        <w:rPr>
          <w:rFonts w:asciiTheme="majorHAnsi" w:hAnsiTheme="majorHAnsi" w:cstheme="minorHAnsi"/>
          <w:sz w:val="22"/>
          <w:szCs w:val="22"/>
        </w:rPr>
        <w:t xml:space="preserve">Second, </w:t>
      </w:r>
      <w:r w:rsidR="003E39C5" w:rsidRPr="002E4B8A">
        <w:rPr>
          <w:rFonts w:asciiTheme="majorHAnsi" w:hAnsiTheme="majorHAnsi" w:cstheme="minorHAnsi"/>
          <w:sz w:val="22"/>
          <w:szCs w:val="22"/>
        </w:rPr>
        <w:t>there</w:t>
      </w:r>
      <w:r w:rsidR="00260DE6">
        <w:rPr>
          <w:rFonts w:asciiTheme="majorHAnsi" w:hAnsiTheme="majorHAnsi" w:cstheme="minorHAnsi"/>
          <w:sz w:val="22"/>
          <w:szCs w:val="22"/>
        </w:rPr>
        <w:t xml:space="preserve"> is a </w:t>
      </w:r>
      <w:r w:rsidR="00260DE6" w:rsidRPr="00C54205">
        <w:rPr>
          <w:rFonts w:asciiTheme="majorHAnsi" w:hAnsiTheme="majorHAnsi" w:cstheme="minorHAnsi"/>
          <w:b/>
          <w:bCs/>
          <w:sz w:val="22"/>
          <w:szCs w:val="22"/>
        </w:rPr>
        <w:t xml:space="preserve">subset of </w:t>
      </w:r>
      <w:r w:rsidR="003E39C5" w:rsidRPr="00C54205">
        <w:rPr>
          <w:rFonts w:asciiTheme="majorHAnsi" w:hAnsiTheme="majorHAnsi" w:cstheme="minorHAnsi"/>
          <w:b/>
          <w:bCs/>
          <w:sz w:val="22"/>
          <w:szCs w:val="22"/>
        </w:rPr>
        <w:t>essential biotech and medical device workers</w:t>
      </w:r>
      <w:r w:rsidR="003E39C5" w:rsidRPr="002E4B8A">
        <w:rPr>
          <w:rFonts w:asciiTheme="majorHAnsi" w:hAnsiTheme="majorHAnsi" w:cstheme="minorHAnsi"/>
          <w:sz w:val="22"/>
          <w:szCs w:val="22"/>
        </w:rPr>
        <w:t xml:space="preserve"> that work in labs on COVID-related vaccines and therapeutics </w:t>
      </w:r>
      <w:r>
        <w:rPr>
          <w:rFonts w:asciiTheme="majorHAnsi" w:hAnsiTheme="majorHAnsi" w:cstheme="minorHAnsi"/>
          <w:sz w:val="22"/>
          <w:szCs w:val="22"/>
        </w:rPr>
        <w:t xml:space="preserve">as well as </w:t>
      </w:r>
      <w:r w:rsidR="003E39C5" w:rsidRPr="002E4B8A">
        <w:rPr>
          <w:rFonts w:asciiTheme="majorHAnsi" w:hAnsiTheme="majorHAnsi" w:cstheme="minorHAnsi"/>
          <w:sz w:val="22"/>
          <w:szCs w:val="22"/>
        </w:rPr>
        <w:t xml:space="preserve">workers involved with manufacturing essential medical supplies that we </w:t>
      </w:r>
      <w:r w:rsidR="002D436D">
        <w:rPr>
          <w:rFonts w:asciiTheme="majorHAnsi" w:hAnsiTheme="majorHAnsi" w:cstheme="minorHAnsi"/>
          <w:sz w:val="22"/>
          <w:szCs w:val="22"/>
        </w:rPr>
        <w:t xml:space="preserve">urge you to include </w:t>
      </w:r>
      <w:r w:rsidR="003E39C5" w:rsidRPr="002E4B8A">
        <w:rPr>
          <w:rFonts w:asciiTheme="majorHAnsi" w:hAnsiTheme="majorHAnsi" w:cstheme="minorHAnsi"/>
          <w:sz w:val="22"/>
          <w:szCs w:val="22"/>
        </w:rPr>
        <w:t xml:space="preserve">in the </w:t>
      </w:r>
      <w:r w:rsidR="00D63FDA" w:rsidRPr="00D63FDA">
        <w:rPr>
          <w:rFonts w:asciiTheme="majorHAnsi" w:hAnsiTheme="majorHAnsi" w:cstheme="minorHAnsi"/>
          <w:b/>
          <w:bCs/>
          <w:sz w:val="22"/>
          <w:szCs w:val="22"/>
        </w:rPr>
        <w:t xml:space="preserve">appropriate </w:t>
      </w:r>
      <w:r w:rsidR="003E39C5" w:rsidRPr="00D63FDA">
        <w:rPr>
          <w:rFonts w:asciiTheme="majorHAnsi" w:hAnsiTheme="majorHAnsi" w:cstheme="minorHAnsi"/>
          <w:b/>
          <w:bCs/>
          <w:sz w:val="22"/>
          <w:szCs w:val="22"/>
        </w:rPr>
        <w:t>allocation</w:t>
      </w:r>
      <w:r w:rsidR="003E39C5" w:rsidRPr="00C54205">
        <w:rPr>
          <w:rFonts w:asciiTheme="majorHAnsi" w:hAnsiTheme="majorHAnsi" w:cstheme="minorHAnsi"/>
          <w:b/>
          <w:bCs/>
          <w:sz w:val="22"/>
          <w:szCs w:val="22"/>
        </w:rPr>
        <w:t xml:space="preserve"> for </w:t>
      </w:r>
      <w:r w:rsidR="00260DE6" w:rsidRPr="00C54205">
        <w:rPr>
          <w:rFonts w:asciiTheme="majorHAnsi" w:hAnsiTheme="majorHAnsi" w:cstheme="minorHAnsi"/>
          <w:b/>
          <w:bCs/>
          <w:sz w:val="22"/>
          <w:szCs w:val="22"/>
        </w:rPr>
        <w:t xml:space="preserve">high-risk </w:t>
      </w:r>
      <w:r w:rsidR="003E39C5" w:rsidRPr="00C54205">
        <w:rPr>
          <w:rFonts w:asciiTheme="majorHAnsi" w:hAnsiTheme="majorHAnsi" w:cstheme="minorHAnsi"/>
          <w:b/>
          <w:bCs/>
          <w:sz w:val="22"/>
          <w:szCs w:val="22"/>
        </w:rPr>
        <w:t>essential workers</w:t>
      </w:r>
      <w:r w:rsidR="003E39C5" w:rsidRPr="002E4B8A">
        <w:rPr>
          <w:rFonts w:asciiTheme="majorHAnsi" w:hAnsiTheme="majorHAnsi" w:cstheme="minorHAnsi"/>
          <w:sz w:val="22"/>
          <w:szCs w:val="22"/>
        </w:rPr>
        <w:t xml:space="preserve"> (</w:t>
      </w:r>
      <w:r w:rsidR="003E39C5" w:rsidRPr="00C54205">
        <w:rPr>
          <w:rFonts w:asciiTheme="majorHAnsi" w:hAnsiTheme="majorHAnsi" w:cstheme="minorHAnsi"/>
          <w:b/>
          <w:bCs/>
          <w:sz w:val="22"/>
          <w:szCs w:val="22"/>
        </w:rPr>
        <w:t>either 1b or 2</w:t>
      </w:r>
      <w:r w:rsidR="003E39C5" w:rsidRPr="002E4B8A">
        <w:rPr>
          <w:rFonts w:asciiTheme="majorHAnsi" w:hAnsiTheme="majorHAnsi" w:cstheme="minorHAnsi"/>
          <w:sz w:val="22"/>
          <w:szCs w:val="22"/>
        </w:rPr>
        <w:t>)</w:t>
      </w:r>
      <w:r w:rsidR="003E39C5">
        <w:rPr>
          <w:rFonts w:asciiTheme="majorHAnsi" w:hAnsiTheme="majorHAnsi" w:cstheme="minorHAnsi"/>
          <w:sz w:val="22"/>
          <w:szCs w:val="22"/>
        </w:rPr>
        <w:t>.</w:t>
      </w:r>
    </w:p>
    <w:p w14:paraId="79EE6082" w14:textId="77777777" w:rsidR="002E4B8A" w:rsidRPr="002E4B8A" w:rsidRDefault="002E4B8A" w:rsidP="002E4B8A">
      <w:pPr>
        <w:rPr>
          <w:rFonts w:asciiTheme="majorHAnsi" w:hAnsiTheme="majorHAnsi" w:cstheme="minorHAnsi"/>
          <w:sz w:val="22"/>
          <w:szCs w:val="22"/>
        </w:rPr>
      </w:pPr>
    </w:p>
    <w:p w14:paraId="48F966BE" w14:textId="52A0C941" w:rsidR="002E4B8A" w:rsidRPr="002E4B8A" w:rsidRDefault="002E4B8A" w:rsidP="00535573">
      <w:pPr>
        <w:rPr>
          <w:rFonts w:asciiTheme="majorHAnsi" w:hAnsiTheme="majorHAnsi" w:cstheme="minorHAnsi"/>
          <w:sz w:val="22"/>
          <w:szCs w:val="22"/>
        </w:rPr>
      </w:pPr>
      <w:r w:rsidRPr="002E4B8A">
        <w:rPr>
          <w:rFonts w:asciiTheme="majorHAnsi" w:hAnsiTheme="majorHAnsi" w:cstheme="minorHAnsi"/>
          <w:sz w:val="22"/>
          <w:szCs w:val="22"/>
        </w:rPr>
        <w:t xml:space="preserve">Please find attached a </w:t>
      </w:r>
      <w:r w:rsidR="00D8796E">
        <w:rPr>
          <w:rFonts w:asciiTheme="majorHAnsi" w:hAnsiTheme="majorHAnsi" w:cstheme="minorHAnsi"/>
          <w:sz w:val="22"/>
          <w:szCs w:val="22"/>
        </w:rPr>
        <w:t>more detailed discussion of these two specific groups of workers as well as suggested language that could be used to define these</w:t>
      </w:r>
      <w:r w:rsidRPr="002E4B8A">
        <w:rPr>
          <w:rFonts w:asciiTheme="majorHAnsi" w:hAnsiTheme="majorHAnsi" w:cstheme="minorHAnsi"/>
          <w:sz w:val="22"/>
          <w:szCs w:val="22"/>
        </w:rPr>
        <w:t xml:space="preserve"> workers</w:t>
      </w:r>
      <w:r w:rsidR="00D8796E">
        <w:rPr>
          <w:rFonts w:asciiTheme="majorHAnsi" w:hAnsiTheme="majorHAnsi" w:cstheme="minorHAnsi"/>
          <w:sz w:val="22"/>
          <w:szCs w:val="22"/>
        </w:rPr>
        <w:t xml:space="preserve"> </w:t>
      </w:r>
      <w:r w:rsidRPr="002E4B8A">
        <w:rPr>
          <w:rFonts w:asciiTheme="majorHAnsi" w:hAnsiTheme="majorHAnsi" w:cstheme="minorHAnsi"/>
          <w:sz w:val="22"/>
          <w:szCs w:val="22"/>
        </w:rPr>
        <w:t>in a manner consistent with the recommendations from the CDC’s Advisory Council on Immunization Practices (ACIP).</w:t>
      </w:r>
    </w:p>
    <w:p w14:paraId="543A6618" w14:textId="31CC659C" w:rsidR="002E4B8A" w:rsidRDefault="002E4B8A" w:rsidP="00535573">
      <w:pPr>
        <w:spacing w:line="276" w:lineRule="auto"/>
        <w:rPr>
          <w:rFonts w:asciiTheme="majorHAnsi" w:hAnsiTheme="majorHAnsi" w:cstheme="minorHAnsi"/>
          <w:sz w:val="22"/>
          <w:szCs w:val="22"/>
        </w:rPr>
      </w:pPr>
    </w:p>
    <w:p w14:paraId="33C0C8F4" w14:textId="7A930C5F" w:rsidR="00C03EED" w:rsidRPr="00547F0D" w:rsidRDefault="00C03EED" w:rsidP="00535573">
      <w:pPr>
        <w:spacing w:line="276" w:lineRule="auto"/>
        <w:rPr>
          <w:rFonts w:asciiTheme="majorHAnsi" w:hAnsiTheme="majorHAnsi" w:cstheme="minorHAnsi"/>
          <w:sz w:val="21"/>
          <w:szCs w:val="21"/>
        </w:rPr>
      </w:pPr>
      <w:r w:rsidRPr="00547F0D">
        <w:rPr>
          <w:rFonts w:asciiTheme="majorHAnsi" w:hAnsiTheme="majorHAnsi" w:cstheme="minorHAnsi"/>
          <w:sz w:val="21"/>
          <w:szCs w:val="21"/>
        </w:rPr>
        <w:t xml:space="preserve">We appreciate your consideration and look forward to supporting the state to further a transparent and equitable allocation of COVID-19 vaccines. We would be pleased to discuss these issues in greater detail </w:t>
      </w:r>
      <w:r w:rsidR="00D63FDA">
        <w:rPr>
          <w:rFonts w:asciiTheme="majorHAnsi" w:hAnsiTheme="majorHAnsi" w:cstheme="minorHAnsi"/>
          <w:sz w:val="21"/>
          <w:szCs w:val="21"/>
        </w:rPr>
        <w:t xml:space="preserve">with you </w:t>
      </w:r>
      <w:r w:rsidRPr="00547F0D">
        <w:rPr>
          <w:rFonts w:asciiTheme="majorHAnsi" w:hAnsiTheme="majorHAnsi" w:cstheme="minorHAnsi"/>
          <w:sz w:val="21"/>
          <w:szCs w:val="21"/>
        </w:rPr>
        <w:t xml:space="preserve">at your convenience. </w:t>
      </w:r>
    </w:p>
    <w:p w14:paraId="6BE8DEA0" w14:textId="4A254BA0" w:rsidR="002E4B8A" w:rsidRDefault="002E4B8A" w:rsidP="00EC4832">
      <w:pPr>
        <w:spacing w:line="276" w:lineRule="auto"/>
        <w:jc w:val="both"/>
        <w:rPr>
          <w:rFonts w:asciiTheme="majorHAnsi" w:hAnsiTheme="majorHAnsi" w:cstheme="minorHAnsi"/>
          <w:sz w:val="22"/>
          <w:szCs w:val="22"/>
        </w:rPr>
      </w:pPr>
    </w:p>
    <w:p w14:paraId="45433E82" w14:textId="449FC9B9" w:rsidR="00AE7CC8" w:rsidRPr="002E4B8A" w:rsidRDefault="00AE7CC8" w:rsidP="00AE7CC8">
      <w:pPr>
        <w:spacing w:line="276" w:lineRule="auto"/>
        <w:jc w:val="both"/>
        <w:rPr>
          <w:rFonts w:asciiTheme="majorHAnsi" w:hAnsiTheme="majorHAnsi" w:cstheme="minorHAnsi"/>
          <w:sz w:val="22"/>
          <w:szCs w:val="22"/>
        </w:rPr>
      </w:pPr>
      <w:r w:rsidRPr="002E4B8A">
        <w:rPr>
          <w:rFonts w:asciiTheme="majorHAnsi" w:hAnsiTheme="majorHAnsi" w:cstheme="minorHAnsi"/>
          <w:sz w:val="22"/>
          <w:szCs w:val="22"/>
        </w:rPr>
        <w:t>Sincerely,</w:t>
      </w:r>
    </w:p>
    <w:p w14:paraId="3FC1E601" w14:textId="77777777" w:rsidR="00AE7CC8" w:rsidRPr="002E4B8A" w:rsidRDefault="00AE7CC8" w:rsidP="00AE7CC8">
      <w:pPr>
        <w:spacing w:line="276" w:lineRule="auto"/>
        <w:jc w:val="both"/>
        <w:rPr>
          <w:rFonts w:asciiTheme="majorHAnsi" w:hAnsiTheme="majorHAnsi" w:cstheme="minorHAnsi"/>
          <w:sz w:val="22"/>
          <w:szCs w:val="22"/>
        </w:rPr>
      </w:pPr>
    </w:p>
    <w:p w14:paraId="1A9B750B" w14:textId="77777777" w:rsidR="00474FB7" w:rsidRDefault="00474FB7" w:rsidP="00AE7CC8">
      <w:pPr>
        <w:spacing w:line="276" w:lineRule="auto"/>
        <w:jc w:val="both"/>
        <w:rPr>
          <w:rFonts w:asciiTheme="majorHAnsi" w:hAnsiTheme="majorHAnsi" w:cstheme="minorHAnsi"/>
          <w:sz w:val="22"/>
          <w:szCs w:val="22"/>
        </w:rPr>
      </w:pPr>
      <w:r>
        <w:rPr>
          <w:rFonts w:asciiTheme="majorHAnsi" w:hAnsiTheme="majorHAnsi" w:cstheme="minorHAnsi"/>
          <w:noProof/>
          <w:sz w:val="22"/>
          <w:szCs w:val="22"/>
        </w:rPr>
        <w:drawing>
          <wp:inline distT="0" distB="0" distL="0" distR="0" wp14:anchorId="01A3F121" wp14:editId="55ECADF5">
            <wp:extent cx="2011776" cy="440267"/>
            <wp:effectExtent l="0" t="0" r="0" b="4445"/>
            <wp:docPr id="2" name="Picture 2"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sec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109102" cy="461566"/>
                    </a:xfrm>
                    <a:prstGeom prst="rect">
                      <a:avLst/>
                    </a:prstGeom>
                  </pic:spPr>
                </pic:pic>
              </a:graphicData>
            </a:graphic>
          </wp:inline>
        </w:drawing>
      </w:r>
    </w:p>
    <w:p w14:paraId="44A48889" w14:textId="44B6244D" w:rsidR="00AE7CC8" w:rsidRPr="002E4B8A" w:rsidRDefault="00AE7CC8" w:rsidP="00AE7CC8">
      <w:pPr>
        <w:spacing w:line="276" w:lineRule="auto"/>
        <w:jc w:val="both"/>
        <w:rPr>
          <w:rFonts w:asciiTheme="majorHAnsi" w:hAnsiTheme="majorHAnsi" w:cstheme="minorHAnsi"/>
          <w:sz w:val="22"/>
          <w:szCs w:val="22"/>
        </w:rPr>
      </w:pPr>
      <w:r w:rsidRPr="002E4B8A">
        <w:rPr>
          <w:rFonts w:asciiTheme="majorHAnsi" w:hAnsiTheme="majorHAnsi" w:cstheme="minorHAnsi"/>
          <w:sz w:val="22"/>
          <w:szCs w:val="22"/>
        </w:rPr>
        <w:t>Marc Cummings</w:t>
      </w:r>
    </w:p>
    <w:p w14:paraId="7716D272" w14:textId="77777777" w:rsidR="00AE7CC8" w:rsidRPr="002E4B8A" w:rsidRDefault="00AE7CC8" w:rsidP="00AE7CC8">
      <w:pPr>
        <w:spacing w:line="276" w:lineRule="auto"/>
        <w:jc w:val="both"/>
        <w:rPr>
          <w:rFonts w:asciiTheme="majorHAnsi" w:hAnsiTheme="majorHAnsi" w:cstheme="minorHAnsi"/>
          <w:sz w:val="22"/>
          <w:szCs w:val="22"/>
        </w:rPr>
      </w:pPr>
      <w:r w:rsidRPr="002E4B8A">
        <w:rPr>
          <w:rFonts w:asciiTheme="majorHAnsi" w:hAnsiTheme="majorHAnsi" w:cstheme="minorHAnsi"/>
          <w:sz w:val="22"/>
          <w:szCs w:val="22"/>
        </w:rPr>
        <w:t xml:space="preserve">Vice President, Public Policy &amp; External Affairs </w:t>
      </w:r>
    </w:p>
    <w:p w14:paraId="15ADF7BE" w14:textId="5CBF3FDB" w:rsidR="002F5CC5" w:rsidRDefault="002F5CC5">
      <w:pPr>
        <w:rPr>
          <w:rFonts w:asciiTheme="majorHAnsi" w:hAnsiTheme="majorHAnsi" w:cstheme="minorHAnsi"/>
          <w:b/>
          <w:sz w:val="21"/>
          <w:szCs w:val="21"/>
          <w:u w:val="single"/>
        </w:rPr>
      </w:pPr>
    </w:p>
    <w:p w14:paraId="30019AE9" w14:textId="48A0BB21" w:rsidR="002F5CC5" w:rsidRDefault="002F5CC5">
      <w:pPr>
        <w:rPr>
          <w:rFonts w:asciiTheme="majorHAnsi" w:hAnsiTheme="majorHAnsi" w:cstheme="minorHAnsi"/>
          <w:b/>
          <w:sz w:val="21"/>
          <w:szCs w:val="21"/>
          <w:u w:val="single"/>
        </w:rPr>
      </w:pPr>
    </w:p>
    <w:p w14:paraId="5529F540" w14:textId="2D01A905" w:rsidR="00D63FDA" w:rsidRPr="002F5CC5" w:rsidRDefault="002F5CC5" w:rsidP="002F5CC5">
      <w:pPr>
        <w:spacing w:line="276" w:lineRule="auto"/>
        <w:rPr>
          <w:rFonts w:asciiTheme="majorHAnsi" w:hAnsiTheme="majorHAnsi" w:cstheme="minorHAnsi"/>
          <w:bCs/>
          <w:sz w:val="21"/>
          <w:szCs w:val="21"/>
        </w:rPr>
      </w:pPr>
      <w:r w:rsidRPr="002F5CC5">
        <w:rPr>
          <w:rFonts w:asciiTheme="majorHAnsi" w:hAnsiTheme="majorHAnsi" w:cstheme="minorHAnsi"/>
          <w:bCs/>
          <w:sz w:val="21"/>
          <w:szCs w:val="21"/>
        </w:rPr>
        <w:t>Enclosure: High Risk Essential Life Science Workers</w:t>
      </w:r>
      <w:r w:rsidR="00D63FDA">
        <w:rPr>
          <w:rFonts w:asciiTheme="majorHAnsi" w:hAnsiTheme="majorHAnsi" w:cstheme="minorHAnsi"/>
          <w:b/>
          <w:sz w:val="21"/>
          <w:szCs w:val="21"/>
          <w:u w:val="single"/>
        </w:rPr>
        <w:br w:type="page"/>
      </w:r>
    </w:p>
    <w:p w14:paraId="5AE75228" w14:textId="175FE844" w:rsidR="00636D1F" w:rsidRDefault="00636D1F" w:rsidP="00636D1F">
      <w:pPr>
        <w:spacing w:line="276" w:lineRule="auto"/>
        <w:jc w:val="center"/>
        <w:rPr>
          <w:rFonts w:asciiTheme="majorHAnsi" w:hAnsiTheme="majorHAnsi" w:cstheme="minorHAnsi"/>
          <w:b/>
          <w:sz w:val="21"/>
          <w:szCs w:val="21"/>
          <w:u w:val="single"/>
        </w:rPr>
      </w:pPr>
      <w:r>
        <w:rPr>
          <w:rFonts w:asciiTheme="majorHAnsi" w:hAnsiTheme="majorHAnsi" w:cstheme="minorHAnsi"/>
          <w:b/>
          <w:sz w:val="21"/>
          <w:szCs w:val="21"/>
          <w:u w:val="single"/>
        </w:rPr>
        <w:lastRenderedPageBreak/>
        <w:t>High Risk Essential Life Science Workers</w:t>
      </w:r>
    </w:p>
    <w:p w14:paraId="00F118FF" w14:textId="77777777" w:rsidR="00636D1F" w:rsidRDefault="00636D1F" w:rsidP="00EC4832">
      <w:pPr>
        <w:spacing w:line="276" w:lineRule="auto"/>
        <w:jc w:val="both"/>
        <w:rPr>
          <w:rFonts w:asciiTheme="majorHAnsi" w:hAnsiTheme="majorHAnsi" w:cstheme="minorHAnsi"/>
          <w:b/>
          <w:sz w:val="21"/>
          <w:szCs w:val="21"/>
          <w:u w:val="single"/>
        </w:rPr>
      </w:pPr>
    </w:p>
    <w:p w14:paraId="27575BDB" w14:textId="393900FA" w:rsidR="00EC4832" w:rsidRPr="00F31626" w:rsidRDefault="00EC4832" w:rsidP="00EC4832">
      <w:pPr>
        <w:spacing w:line="276" w:lineRule="auto"/>
        <w:jc w:val="both"/>
        <w:rPr>
          <w:rFonts w:asciiTheme="majorHAnsi" w:hAnsiTheme="majorHAnsi" w:cstheme="minorHAnsi"/>
          <w:bCs/>
          <w:sz w:val="21"/>
          <w:szCs w:val="21"/>
          <w:u w:val="single"/>
        </w:rPr>
      </w:pPr>
      <w:r w:rsidRPr="00547F0D">
        <w:rPr>
          <w:rFonts w:asciiTheme="majorHAnsi" w:hAnsiTheme="majorHAnsi" w:cstheme="minorHAnsi"/>
          <w:b/>
          <w:sz w:val="21"/>
          <w:szCs w:val="21"/>
          <w:u w:val="single"/>
        </w:rPr>
        <w:t>Health Care Industry Representatives</w:t>
      </w:r>
      <w:r w:rsidR="002D436D">
        <w:rPr>
          <w:rFonts w:asciiTheme="majorHAnsi" w:hAnsiTheme="majorHAnsi" w:cstheme="minorHAnsi"/>
          <w:b/>
          <w:sz w:val="21"/>
          <w:szCs w:val="21"/>
          <w:u w:val="single"/>
        </w:rPr>
        <w:t>—</w:t>
      </w:r>
      <w:r w:rsidR="000253F8" w:rsidRPr="00F31626">
        <w:rPr>
          <w:rFonts w:asciiTheme="majorHAnsi" w:hAnsiTheme="majorHAnsi" w:cstheme="minorHAnsi"/>
          <w:bCs/>
          <w:sz w:val="21"/>
          <w:szCs w:val="21"/>
          <w:u w:val="single"/>
        </w:rPr>
        <w:t>Phase 1a</w:t>
      </w:r>
    </w:p>
    <w:p w14:paraId="52CF12C1" w14:textId="18B3F6AA" w:rsidR="00547F0D" w:rsidRDefault="00547F0D" w:rsidP="00EC4832">
      <w:pPr>
        <w:spacing w:line="276" w:lineRule="auto"/>
        <w:jc w:val="both"/>
        <w:rPr>
          <w:rFonts w:asciiTheme="majorHAnsi" w:hAnsiTheme="majorHAnsi" w:cstheme="minorHAnsi"/>
          <w:b/>
          <w:sz w:val="21"/>
          <w:szCs w:val="21"/>
          <w:u w:val="single"/>
        </w:rPr>
      </w:pPr>
    </w:p>
    <w:p w14:paraId="38DFFD45" w14:textId="6D4363B7" w:rsidR="00AE7CC8" w:rsidRPr="00AE7CC8" w:rsidRDefault="00AE7CC8" w:rsidP="00AE7CC8">
      <w:pPr>
        <w:jc w:val="both"/>
        <w:rPr>
          <w:rFonts w:asciiTheme="majorHAnsi" w:hAnsiTheme="majorHAnsi" w:cstheme="minorHAnsi"/>
          <w:b/>
          <w:bCs/>
          <w:i/>
          <w:iCs/>
          <w:sz w:val="21"/>
          <w:szCs w:val="21"/>
        </w:rPr>
      </w:pPr>
      <w:r w:rsidRPr="00AE7CC8">
        <w:rPr>
          <w:rFonts w:asciiTheme="majorHAnsi" w:hAnsiTheme="majorHAnsi" w:cstheme="minorHAnsi"/>
          <w:b/>
          <w:bCs/>
          <w:i/>
          <w:iCs/>
          <w:sz w:val="21"/>
          <w:szCs w:val="21"/>
        </w:rPr>
        <w:t>Health Care Industry Representatives (HCIR) perform critical functions alongside health care professionals on the front lines, including industry representatives, technicians or others</w:t>
      </w:r>
      <w:r w:rsidR="002D436D">
        <w:rPr>
          <w:rFonts w:asciiTheme="majorHAnsi" w:hAnsiTheme="majorHAnsi" w:cstheme="minorHAnsi"/>
          <w:b/>
          <w:bCs/>
          <w:i/>
          <w:iCs/>
          <w:sz w:val="21"/>
          <w:szCs w:val="21"/>
        </w:rPr>
        <w:t xml:space="preserve"> who </w:t>
      </w:r>
      <w:r w:rsidRPr="00AE7CC8">
        <w:rPr>
          <w:rFonts w:asciiTheme="majorHAnsi" w:hAnsiTheme="majorHAnsi" w:cstheme="minorHAnsi"/>
          <w:b/>
          <w:bCs/>
          <w:i/>
          <w:iCs/>
          <w:sz w:val="21"/>
          <w:szCs w:val="21"/>
        </w:rPr>
        <w:t>should be included in Phase 1a based on their risk of exposure and to ensure continuity of patient care throughout the health care system.</w:t>
      </w:r>
    </w:p>
    <w:p w14:paraId="4B0A9499" w14:textId="6FF39E4D" w:rsidR="00AE7CC8" w:rsidRDefault="00AE7CC8" w:rsidP="00EC4832">
      <w:pPr>
        <w:spacing w:line="276" w:lineRule="auto"/>
        <w:jc w:val="both"/>
        <w:rPr>
          <w:rFonts w:asciiTheme="majorHAnsi" w:hAnsiTheme="majorHAnsi" w:cstheme="minorHAnsi"/>
          <w:b/>
          <w:sz w:val="21"/>
          <w:szCs w:val="21"/>
          <w:u w:val="single"/>
        </w:rPr>
      </w:pPr>
    </w:p>
    <w:p w14:paraId="5D6BAC16" w14:textId="41096D0A" w:rsidR="00EC4832" w:rsidRPr="00547F0D" w:rsidRDefault="00EC4832" w:rsidP="00EC4832">
      <w:pPr>
        <w:spacing w:line="276" w:lineRule="auto"/>
        <w:jc w:val="both"/>
        <w:rPr>
          <w:rFonts w:asciiTheme="majorHAnsi" w:hAnsiTheme="majorHAnsi" w:cstheme="minorHAnsi"/>
          <w:sz w:val="21"/>
          <w:szCs w:val="21"/>
        </w:rPr>
      </w:pPr>
      <w:r w:rsidRPr="00547F0D">
        <w:rPr>
          <w:rFonts w:asciiTheme="majorHAnsi" w:hAnsiTheme="majorHAnsi" w:cstheme="minorHAnsi"/>
          <w:sz w:val="21"/>
          <w:szCs w:val="21"/>
        </w:rPr>
        <w:t>Medical device company representatives are also referred to as Health Care Industry Representatives (“HCIRs”). They are often required to be present in patient care settings to provide technical support concerning the safe and effective application of surgical products and technologies.</w:t>
      </w:r>
      <w:bookmarkStart w:id="0" w:name="x__ftnref2"/>
      <w:r w:rsidRPr="00547F0D">
        <w:rPr>
          <w:rStyle w:val="FootnoteReference"/>
          <w:rFonts w:asciiTheme="majorHAnsi" w:hAnsiTheme="majorHAnsi" w:cstheme="minorHAnsi"/>
          <w:sz w:val="21"/>
          <w:szCs w:val="21"/>
          <w:vertAlign w:val="superscript"/>
        </w:rPr>
        <w:footnoteReference w:id="1"/>
      </w:r>
      <w:bookmarkEnd w:id="0"/>
      <w:r w:rsidRPr="00547F0D">
        <w:rPr>
          <w:rFonts w:asciiTheme="majorHAnsi" w:hAnsiTheme="majorHAnsi" w:cstheme="minorHAnsi"/>
          <w:sz w:val="21"/>
          <w:szCs w:val="21"/>
        </w:rPr>
        <w:t>  In addition to this technical assistance function, HCIRs “may be involved in the remote calibration or adjustment of medical devices (for example, pacemakers, laser technology) to the surgeons’ and manufacturers’ specifications.”</w:t>
      </w:r>
      <w:bookmarkStart w:id="1" w:name="x__ftnref3"/>
      <w:r w:rsidRPr="00547F0D">
        <w:rPr>
          <w:rStyle w:val="FootnoteReference"/>
          <w:rFonts w:asciiTheme="majorHAnsi" w:hAnsiTheme="majorHAnsi" w:cstheme="minorHAnsi"/>
          <w:sz w:val="21"/>
          <w:szCs w:val="21"/>
          <w:vertAlign w:val="superscript"/>
        </w:rPr>
        <w:footnoteReference w:id="2"/>
      </w:r>
      <w:bookmarkEnd w:id="1"/>
      <w:r w:rsidRPr="00547F0D">
        <w:rPr>
          <w:rFonts w:asciiTheme="majorHAnsi" w:hAnsiTheme="majorHAnsi" w:cstheme="minorHAnsi"/>
          <w:sz w:val="21"/>
          <w:szCs w:val="21"/>
        </w:rPr>
        <w:t>  Generally, HCIRs must meet certain hospital supplier credentialing requirements to access certain areas of a hospital at the request of a healthcare provider.  These credentialing requirements include documentation of vaccinations (or titers showing immunity) for Influenza, Tetanus, Diphtheria, Pertussis, Measles, Mumps, Varicella, and Hepatitis B.</w:t>
      </w:r>
      <w:r w:rsidRPr="00547F0D">
        <w:rPr>
          <w:rStyle w:val="FootnoteReference"/>
          <w:rFonts w:asciiTheme="majorHAnsi" w:hAnsiTheme="majorHAnsi" w:cstheme="minorHAnsi"/>
          <w:sz w:val="21"/>
          <w:szCs w:val="21"/>
          <w:vertAlign w:val="superscript"/>
        </w:rPr>
        <w:footnoteReference w:id="3"/>
      </w:r>
      <w:r w:rsidRPr="00547F0D">
        <w:rPr>
          <w:rFonts w:asciiTheme="majorHAnsi" w:hAnsiTheme="majorHAnsi" w:cstheme="minorHAnsi"/>
          <w:sz w:val="21"/>
          <w:szCs w:val="21"/>
        </w:rPr>
        <w:t xml:space="preserve">   It is also worth noting that the </w:t>
      </w:r>
      <w:r w:rsidRPr="00547F0D">
        <w:rPr>
          <w:rFonts w:asciiTheme="majorHAnsi" w:hAnsiTheme="majorHAnsi" w:cstheme="minorHAnsi"/>
          <w:i/>
          <w:iCs/>
          <w:sz w:val="21"/>
          <w:szCs w:val="21"/>
        </w:rPr>
        <w:t>American National Standard for Supplier Credentialing in Healthcare</w:t>
      </w:r>
      <w:r w:rsidRPr="00547F0D">
        <w:rPr>
          <w:rFonts w:asciiTheme="majorHAnsi" w:hAnsiTheme="majorHAnsi" w:cstheme="minorHAnsi"/>
          <w:sz w:val="21"/>
          <w:szCs w:val="21"/>
        </w:rPr>
        <w:t xml:space="preserve"> was recently updated to include appropriate Personal Protective Equipment (PPE) use in healthcare provider facilities and a new section concerning Novel Viruses/Communicable Illness.</w:t>
      </w:r>
      <w:r w:rsidRPr="00547F0D">
        <w:rPr>
          <w:rStyle w:val="FootnoteReference"/>
          <w:rFonts w:asciiTheme="majorHAnsi" w:hAnsiTheme="majorHAnsi" w:cstheme="minorHAnsi"/>
          <w:sz w:val="21"/>
          <w:szCs w:val="21"/>
          <w:vertAlign w:val="superscript"/>
        </w:rPr>
        <w:footnoteReference w:id="4"/>
      </w:r>
      <w:r w:rsidRPr="00547F0D">
        <w:rPr>
          <w:rFonts w:asciiTheme="majorHAnsi" w:hAnsiTheme="majorHAnsi" w:cstheme="minorHAnsi"/>
          <w:sz w:val="21"/>
          <w:szCs w:val="21"/>
        </w:rPr>
        <w:t xml:space="preserve"> HCIRs are not contractors of the hospital; instead, they are employed or retained by medical device companies. This dynamic may complicate a vaccine administrator’s ability to identify and flag HCIRs for prioritized vaccine allocation or to determine and confirm whether an HCIR meets the eligibility requirements for a particular phase of vaccination.</w:t>
      </w:r>
    </w:p>
    <w:p w14:paraId="06B5A56E" w14:textId="77777777" w:rsidR="00EC4832" w:rsidRPr="00547F0D" w:rsidRDefault="00EC4832" w:rsidP="00EC4832">
      <w:pPr>
        <w:spacing w:line="276" w:lineRule="auto"/>
        <w:jc w:val="both"/>
        <w:rPr>
          <w:rFonts w:asciiTheme="majorHAnsi" w:hAnsiTheme="majorHAnsi" w:cstheme="minorHAnsi"/>
          <w:sz w:val="21"/>
          <w:szCs w:val="21"/>
        </w:rPr>
      </w:pPr>
    </w:p>
    <w:p w14:paraId="019833D9" w14:textId="77777777" w:rsidR="00EC4832" w:rsidRPr="00547F0D" w:rsidRDefault="00EC4832" w:rsidP="00EC4832">
      <w:pPr>
        <w:spacing w:line="276" w:lineRule="auto"/>
        <w:jc w:val="both"/>
        <w:rPr>
          <w:rFonts w:asciiTheme="majorHAnsi" w:hAnsiTheme="majorHAnsi" w:cstheme="minorHAnsi"/>
          <w:sz w:val="21"/>
          <w:szCs w:val="21"/>
        </w:rPr>
      </w:pPr>
      <w:r w:rsidRPr="00547F0D">
        <w:rPr>
          <w:rFonts w:asciiTheme="majorHAnsi" w:hAnsiTheme="majorHAnsi" w:cstheme="minorHAnsi"/>
          <w:sz w:val="21"/>
          <w:szCs w:val="21"/>
        </w:rPr>
        <w:t>With regard to high-risk health workers identified for allocation Phase 1a of the NAS Framework, we endorse the NAS Consensus Study statement that “access should not be defined by professional title, but rather by an individual’s actual risk of exposure to COVID-19.”</w:t>
      </w:r>
      <w:bookmarkStart w:id="2" w:name="x__ftnref1"/>
      <w:r w:rsidRPr="00547F0D">
        <w:rPr>
          <w:rStyle w:val="FootnoteReference"/>
          <w:rFonts w:asciiTheme="majorHAnsi" w:hAnsiTheme="majorHAnsi" w:cstheme="minorHAnsi"/>
          <w:sz w:val="21"/>
          <w:szCs w:val="21"/>
          <w:vertAlign w:val="superscript"/>
        </w:rPr>
        <w:footnoteReference w:id="5"/>
      </w:r>
      <w:bookmarkEnd w:id="2"/>
      <w:r w:rsidRPr="00547F0D">
        <w:rPr>
          <w:rFonts w:asciiTheme="majorHAnsi" w:hAnsiTheme="majorHAnsi" w:cstheme="minorHAnsi"/>
          <w:sz w:val="21"/>
          <w:szCs w:val="21"/>
        </w:rPr>
        <w:t xml:space="preserve">  Consistent with that approach, certain medical device company representatives/ HCIRs have an exposure risk to COVID-19 positive patients or their tissues, cells, or biofluids during their work to provide technical support for, calibrate, service, or repair medical devices (including diagnostics).  HCIRs required by health care facilities or their job requirements to wear respirators and eye/face protection due to SARS CoV-2 exposure risk should be included among the Phase 1a allocation for High-Risk Health Workers.  Some HCIRs support procedures/equipment/technology in the operating room or procedural suite and are required to be present during urgent, non-elective procedures (e.g., trauma, transplant, cardiac) and other medically necessary procedures (e.g., joint replacement).   During the pandemic, hospitals have instituted additional COVID-19 access requirements for HCIRs.  For example, some hospitals required HCIRs to undergo </w:t>
      </w:r>
      <w:r w:rsidRPr="00547F0D">
        <w:rPr>
          <w:rFonts w:asciiTheme="majorHAnsi" w:hAnsiTheme="majorHAnsi" w:cstheme="minorHAnsi"/>
          <w:sz w:val="21"/>
          <w:szCs w:val="21"/>
        </w:rPr>
        <w:lastRenderedPageBreak/>
        <w:t>respirator fit testing and training so that HCIRs will be able to utilize hospital-issued respirators during procedures that these HCIRs support.  During crisis capacity operations, some hospitals have required that HCIRs bring in their own respirators and other PPE for the procedures that they support, including gloves, gowns, and face shields.  During the current PPE shortage, distributors of NIOSH-approved N95 respirators allocate nearly all of their supply to hospital purchasers. The best-case scenario for medical device manufacturers is to procure non-NIOSH-approved filtering facepieces that have FDA emergency use authorization for use as a respirator during this public health emergency.  In these cases, although both the hospital staff and HCIR are in similar proximity to aerosol-generating procedures, some HCIRs do not have equivalent PPE relative to the hospital staff.  This dynamic should elevate the prioritization of these HCIRs relative to other high-risk health workers who have access to NIOSH-approved PPE.</w:t>
      </w:r>
    </w:p>
    <w:p w14:paraId="4709B8DD" w14:textId="77777777" w:rsidR="00EC4832" w:rsidRPr="00547F0D" w:rsidRDefault="00EC4832" w:rsidP="00EC4832">
      <w:pPr>
        <w:spacing w:line="276" w:lineRule="auto"/>
        <w:jc w:val="both"/>
        <w:rPr>
          <w:rFonts w:asciiTheme="majorHAnsi" w:hAnsiTheme="majorHAnsi" w:cstheme="minorHAnsi"/>
          <w:sz w:val="21"/>
          <w:szCs w:val="21"/>
        </w:rPr>
      </w:pPr>
    </w:p>
    <w:p w14:paraId="5B05D67E" w14:textId="41D19D9C" w:rsidR="00EC4832" w:rsidRDefault="00EC4832" w:rsidP="00EC4832">
      <w:pPr>
        <w:spacing w:line="276" w:lineRule="auto"/>
        <w:jc w:val="both"/>
        <w:rPr>
          <w:rFonts w:asciiTheme="majorHAnsi" w:hAnsiTheme="majorHAnsi" w:cstheme="minorHAnsi"/>
          <w:sz w:val="21"/>
          <w:szCs w:val="21"/>
        </w:rPr>
      </w:pPr>
      <w:r w:rsidRPr="00547F0D">
        <w:rPr>
          <w:rFonts w:asciiTheme="majorHAnsi" w:hAnsiTheme="majorHAnsi" w:cstheme="minorHAnsi"/>
          <w:sz w:val="21"/>
          <w:szCs w:val="21"/>
        </w:rPr>
        <w:t>Importantly, HCIRs generally work across multiple health care facilities.  Some HCIRs cover numerous hospital systems in a region and support procedures in multiple institutions per day.  Vaccinating these HCIRs during Phase 1a would decrease the risk for these HCIRs to become vectors between institutions.</w:t>
      </w:r>
    </w:p>
    <w:p w14:paraId="7A6FA7BE" w14:textId="77777777" w:rsidR="00F31626" w:rsidRPr="00547F0D" w:rsidRDefault="00F31626" w:rsidP="00EC4832">
      <w:pPr>
        <w:spacing w:line="276" w:lineRule="auto"/>
        <w:jc w:val="both"/>
        <w:rPr>
          <w:rFonts w:asciiTheme="majorHAnsi" w:hAnsiTheme="majorHAnsi" w:cstheme="minorHAnsi"/>
          <w:sz w:val="21"/>
          <w:szCs w:val="21"/>
        </w:rPr>
      </w:pPr>
    </w:p>
    <w:p w14:paraId="35482C3F" w14:textId="20F719CB" w:rsidR="00547F0D" w:rsidRPr="00F31626" w:rsidRDefault="00F31626" w:rsidP="00D84C19">
      <w:pPr>
        <w:rPr>
          <w:rFonts w:asciiTheme="majorHAnsi" w:hAnsiTheme="majorHAnsi" w:cstheme="minorHAnsi"/>
          <w:sz w:val="22"/>
          <w:szCs w:val="22"/>
          <w:u w:val="single"/>
        </w:rPr>
      </w:pPr>
      <w:r>
        <w:rPr>
          <w:rFonts w:asciiTheme="majorHAnsi" w:hAnsiTheme="majorHAnsi" w:cstheme="minorHAnsi"/>
          <w:b/>
          <w:bCs/>
          <w:sz w:val="22"/>
          <w:szCs w:val="22"/>
          <w:u w:val="single"/>
        </w:rPr>
        <w:t>Subset of e</w:t>
      </w:r>
      <w:r w:rsidR="002D436D" w:rsidRPr="00D84C19">
        <w:rPr>
          <w:rFonts w:asciiTheme="majorHAnsi" w:hAnsiTheme="majorHAnsi" w:cstheme="minorHAnsi"/>
          <w:b/>
          <w:bCs/>
          <w:sz w:val="22"/>
          <w:szCs w:val="22"/>
          <w:u w:val="single"/>
        </w:rPr>
        <w:t>ssential biotech and medical device workers</w:t>
      </w:r>
      <w:r w:rsidR="00D84C19">
        <w:rPr>
          <w:rFonts w:asciiTheme="majorHAnsi" w:hAnsiTheme="majorHAnsi" w:cstheme="minorHAnsi"/>
          <w:b/>
          <w:bCs/>
          <w:sz w:val="22"/>
          <w:szCs w:val="22"/>
          <w:u w:val="single"/>
        </w:rPr>
        <w:t>—</w:t>
      </w:r>
      <w:r w:rsidR="00D84C19" w:rsidRPr="00F31626">
        <w:rPr>
          <w:rFonts w:asciiTheme="majorHAnsi" w:hAnsiTheme="majorHAnsi" w:cstheme="minorHAnsi"/>
          <w:sz w:val="22"/>
          <w:szCs w:val="22"/>
          <w:u w:val="single"/>
        </w:rPr>
        <w:t>Phase1b or Phase 2 allocation for high-risk essential workers</w:t>
      </w:r>
    </w:p>
    <w:p w14:paraId="2CD6495A" w14:textId="1B1F8566" w:rsidR="00547F0D" w:rsidRDefault="00547F0D" w:rsidP="00547F0D">
      <w:pPr>
        <w:spacing w:line="276" w:lineRule="auto"/>
        <w:jc w:val="both"/>
        <w:rPr>
          <w:rFonts w:asciiTheme="majorHAnsi" w:hAnsiTheme="majorHAnsi" w:cstheme="minorHAnsi"/>
          <w:sz w:val="21"/>
          <w:szCs w:val="21"/>
        </w:rPr>
      </w:pPr>
    </w:p>
    <w:p w14:paraId="6EC58653" w14:textId="2141E7C1" w:rsidR="00D84C19" w:rsidRDefault="002D436D" w:rsidP="00547F0D">
      <w:pPr>
        <w:spacing w:line="276" w:lineRule="auto"/>
        <w:jc w:val="both"/>
        <w:rPr>
          <w:rFonts w:asciiTheme="majorHAnsi" w:hAnsiTheme="majorHAnsi" w:cstheme="minorHAnsi"/>
          <w:sz w:val="21"/>
          <w:szCs w:val="21"/>
        </w:rPr>
      </w:pPr>
      <w:r>
        <w:rPr>
          <w:rFonts w:asciiTheme="majorHAnsi" w:hAnsiTheme="majorHAnsi" w:cstheme="minorHAnsi"/>
          <w:sz w:val="21"/>
          <w:szCs w:val="21"/>
        </w:rPr>
        <w:t xml:space="preserve">There are two groups of </w:t>
      </w:r>
      <w:r w:rsidR="00D84C19">
        <w:rPr>
          <w:rFonts w:asciiTheme="majorHAnsi" w:hAnsiTheme="majorHAnsi" w:cstheme="minorHAnsi"/>
          <w:sz w:val="21"/>
          <w:szCs w:val="21"/>
        </w:rPr>
        <w:t>essential biotech and medical device workers that should be included in the allocation for high-risk essential workers:</w:t>
      </w:r>
    </w:p>
    <w:p w14:paraId="234D57A6" w14:textId="4CC9A4D6" w:rsidR="002D436D" w:rsidRDefault="00D84C19" w:rsidP="00547F0D">
      <w:pPr>
        <w:spacing w:line="276" w:lineRule="auto"/>
        <w:jc w:val="both"/>
        <w:rPr>
          <w:rFonts w:asciiTheme="majorHAnsi" w:hAnsiTheme="majorHAnsi" w:cstheme="minorHAnsi"/>
          <w:sz w:val="21"/>
          <w:szCs w:val="21"/>
        </w:rPr>
      </w:pPr>
      <w:r>
        <w:rPr>
          <w:rFonts w:asciiTheme="majorHAnsi" w:hAnsiTheme="majorHAnsi" w:cstheme="minorHAnsi"/>
          <w:sz w:val="21"/>
          <w:szCs w:val="21"/>
        </w:rPr>
        <w:t xml:space="preserve"> </w:t>
      </w:r>
    </w:p>
    <w:p w14:paraId="4E2872BD" w14:textId="2E2EF55F" w:rsidR="00AE7CC8" w:rsidRPr="00F31626" w:rsidRDefault="008719CB" w:rsidP="00F31626">
      <w:pPr>
        <w:pStyle w:val="ListParagraph"/>
        <w:numPr>
          <w:ilvl w:val="0"/>
          <w:numId w:val="9"/>
        </w:numPr>
        <w:jc w:val="both"/>
        <w:rPr>
          <w:rFonts w:asciiTheme="majorHAnsi" w:hAnsiTheme="majorHAnsi" w:cstheme="minorHAnsi"/>
          <w:b/>
          <w:bCs/>
          <w:i/>
          <w:iCs/>
          <w:sz w:val="21"/>
          <w:szCs w:val="21"/>
        </w:rPr>
      </w:pPr>
      <w:r>
        <w:rPr>
          <w:rFonts w:asciiTheme="majorHAnsi" w:hAnsiTheme="majorHAnsi" w:cstheme="minorHAnsi"/>
          <w:b/>
          <w:bCs/>
          <w:i/>
          <w:iCs/>
          <w:sz w:val="21"/>
          <w:szCs w:val="21"/>
        </w:rPr>
        <w:t>B</w:t>
      </w:r>
      <w:r w:rsidR="00AE7CC8" w:rsidRPr="00F31626">
        <w:rPr>
          <w:rFonts w:asciiTheme="majorHAnsi" w:hAnsiTheme="majorHAnsi" w:cstheme="minorHAnsi"/>
          <w:b/>
          <w:bCs/>
          <w:i/>
          <w:iCs/>
          <w:sz w:val="21"/>
          <w:szCs w:val="21"/>
        </w:rPr>
        <w:t>iotechnology and medical research workers, including laboratory personnel, that perform critical clinical, biomedical and other research, development, and testing needed for COVID-19 or other diseases as well as biotechnology company manufacturing workers that have been designated critical healthcare infrastructure workers.</w:t>
      </w:r>
    </w:p>
    <w:p w14:paraId="33C8BAB8" w14:textId="457D60F3" w:rsidR="00547F0D" w:rsidRPr="00547F0D" w:rsidRDefault="00547F0D" w:rsidP="00547F0D">
      <w:pPr>
        <w:spacing w:line="276" w:lineRule="auto"/>
        <w:jc w:val="both"/>
        <w:rPr>
          <w:rFonts w:asciiTheme="majorHAnsi" w:hAnsiTheme="majorHAnsi" w:cstheme="minorHAnsi"/>
          <w:sz w:val="21"/>
          <w:szCs w:val="21"/>
        </w:rPr>
      </w:pPr>
      <w:r w:rsidRPr="00547F0D">
        <w:rPr>
          <w:rFonts w:asciiTheme="majorHAnsi" w:hAnsiTheme="majorHAnsi" w:cstheme="minorHAnsi"/>
          <w:sz w:val="21"/>
          <w:szCs w:val="21"/>
        </w:rPr>
        <w:t xml:space="preserve">Critical industry workers, such as those in the biopharmaceutical and sectors, </w:t>
      </w:r>
      <w:r w:rsidR="00C03EED">
        <w:rPr>
          <w:rFonts w:asciiTheme="majorHAnsi" w:hAnsiTheme="majorHAnsi" w:cstheme="minorHAnsi"/>
          <w:sz w:val="21"/>
          <w:szCs w:val="21"/>
        </w:rPr>
        <w:t>should</w:t>
      </w:r>
      <w:r w:rsidRPr="00547F0D">
        <w:rPr>
          <w:rFonts w:asciiTheme="majorHAnsi" w:hAnsiTheme="majorHAnsi" w:cstheme="minorHAnsi"/>
          <w:sz w:val="21"/>
          <w:szCs w:val="21"/>
        </w:rPr>
        <w:t xml:space="preserve"> also be </w:t>
      </w:r>
      <w:r w:rsidR="00C03EED">
        <w:rPr>
          <w:rFonts w:asciiTheme="majorHAnsi" w:hAnsiTheme="majorHAnsi" w:cstheme="minorHAnsi"/>
          <w:sz w:val="21"/>
          <w:szCs w:val="21"/>
        </w:rPr>
        <w:t xml:space="preserve">included in the </w:t>
      </w:r>
      <w:r w:rsidRPr="00547F0D">
        <w:rPr>
          <w:rFonts w:asciiTheme="majorHAnsi" w:hAnsiTheme="majorHAnsi" w:cstheme="minorHAnsi"/>
          <w:sz w:val="21"/>
          <w:szCs w:val="21"/>
        </w:rPr>
        <w:t xml:space="preserve">early wave of vaccinations. </w:t>
      </w:r>
      <w:r w:rsidR="00C03EED">
        <w:rPr>
          <w:rFonts w:asciiTheme="majorHAnsi" w:hAnsiTheme="majorHAnsi" w:cstheme="minorHAnsi"/>
          <w:sz w:val="21"/>
          <w:szCs w:val="21"/>
        </w:rPr>
        <w:t>W</w:t>
      </w:r>
      <w:r w:rsidRPr="00547F0D">
        <w:rPr>
          <w:rFonts w:asciiTheme="majorHAnsi" w:hAnsiTheme="majorHAnsi" w:cstheme="minorHAnsi"/>
          <w:sz w:val="21"/>
          <w:szCs w:val="21"/>
        </w:rPr>
        <w:t>e urge you to use the Department of Homeland Security (DHS) Essential Critical Infrastructure Workers definition for the “essential workers” category in ACIP’s Phase 1b. Specifically, this guidance cited “workers, including laboratory personnel, that perform critical clinical, biomedical and other research, development, and testing needed for COVID-19 or other diseases” as well as biotechnology company manufacturing workers as critical healthcare infrastructure workers. Accordingly, we believe that certain biotechnology employees, including those in research and manufacturing, as well as workers contributing to the manufacturing of personal protective equipment (PPE) and sanitizers to enable safe healthcare and vaccination during the pandemic should be recognized as part of critical risk workers included in ACIP’s Phase 1b.</w:t>
      </w:r>
    </w:p>
    <w:p w14:paraId="1F058AEC" w14:textId="3C3CF1CC" w:rsidR="00EC4832" w:rsidRPr="00547F0D" w:rsidRDefault="00EC4832" w:rsidP="00EC4832">
      <w:pPr>
        <w:spacing w:line="276" w:lineRule="auto"/>
        <w:jc w:val="both"/>
        <w:rPr>
          <w:rFonts w:asciiTheme="majorHAnsi" w:hAnsiTheme="majorHAnsi" w:cstheme="minorHAnsi"/>
          <w:b/>
          <w:sz w:val="21"/>
          <w:szCs w:val="21"/>
          <w:u w:val="single"/>
        </w:rPr>
      </w:pPr>
    </w:p>
    <w:p w14:paraId="3CACADB5" w14:textId="4E6AF697" w:rsidR="00AE7CC8" w:rsidRPr="00F31626" w:rsidRDefault="00D84C19" w:rsidP="00F31626">
      <w:pPr>
        <w:pStyle w:val="ListParagraph"/>
        <w:numPr>
          <w:ilvl w:val="0"/>
          <w:numId w:val="9"/>
        </w:numPr>
        <w:jc w:val="both"/>
        <w:rPr>
          <w:rFonts w:asciiTheme="majorHAnsi" w:hAnsiTheme="majorHAnsi" w:cstheme="minorHAnsi"/>
          <w:b/>
          <w:bCs/>
          <w:i/>
          <w:iCs/>
          <w:sz w:val="21"/>
          <w:szCs w:val="21"/>
        </w:rPr>
      </w:pPr>
      <w:r w:rsidRPr="00F31626">
        <w:rPr>
          <w:rFonts w:asciiTheme="majorHAnsi" w:hAnsiTheme="majorHAnsi" w:cstheme="minorHAnsi"/>
          <w:b/>
          <w:bCs/>
          <w:i/>
          <w:iCs/>
          <w:sz w:val="21"/>
          <w:szCs w:val="21"/>
        </w:rPr>
        <w:t>Medical device industry personnel that are physically involved in manufacturing and distributing medical devices and diagnostics</w:t>
      </w:r>
    </w:p>
    <w:p w14:paraId="0C202530" w14:textId="1C4DB2D5" w:rsidR="00EC4832" w:rsidRPr="00547F0D" w:rsidRDefault="00EC4832" w:rsidP="00EC4832">
      <w:pPr>
        <w:spacing w:line="276" w:lineRule="auto"/>
        <w:jc w:val="both"/>
        <w:rPr>
          <w:rFonts w:asciiTheme="majorHAnsi" w:hAnsiTheme="majorHAnsi" w:cstheme="minorHAnsi"/>
          <w:sz w:val="21"/>
          <w:szCs w:val="21"/>
        </w:rPr>
      </w:pPr>
      <w:r w:rsidRPr="00547F0D">
        <w:rPr>
          <w:rFonts w:asciiTheme="majorHAnsi" w:hAnsiTheme="majorHAnsi" w:cstheme="minorHAnsi"/>
          <w:sz w:val="21"/>
          <w:szCs w:val="21"/>
        </w:rPr>
        <w:t>Medical device industry personnel that are physically involved in manufacturing and distributing medical devices and diagnostics should be included among the allocation for Critical Workers in High-Risk Settings.  The specialized and environmentally sensitive nature of manufacturing medical devices limits the ability of medical device manufacturers to increase the physical distance between some manufacturing personnel.  These are critical workers who are essential to manufacturing and distributing medical devices and diagnostics integral to the treatment of COVID-19 and other patients and are at substantially higher risk of exposure due to their inability to physically distance.</w:t>
      </w:r>
    </w:p>
    <w:sectPr w:rsidR="00EC4832" w:rsidRPr="00547F0D" w:rsidSect="00EE0AA4">
      <w:pgSz w:w="12240" w:h="15840"/>
      <w:pgMar w:top="1440" w:right="1080" w:bottom="1152"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B52B7" w14:textId="77777777" w:rsidR="00382F01" w:rsidRDefault="00382F01" w:rsidP="00D82DA2">
      <w:r>
        <w:separator/>
      </w:r>
    </w:p>
  </w:endnote>
  <w:endnote w:type="continuationSeparator" w:id="0">
    <w:p w14:paraId="1DC53D5E" w14:textId="77777777" w:rsidR="00382F01" w:rsidRDefault="00382F01" w:rsidP="00D82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lbertus (W1)">
    <w:altName w:val="Calibri"/>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3FF73" w14:textId="77777777" w:rsidR="00382F01" w:rsidRDefault="00382F01" w:rsidP="00D82DA2">
      <w:r>
        <w:separator/>
      </w:r>
    </w:p>
  </w:footnote>
  <w:footnote w:type="continuationSeparator" w:id="0">
    <w:p w14:paraId="38C5988D" w14:textId="77777777" w:rsidR="00382F01" w:rsidRDefault="00382F01" w:rsidP="00D82DA2">
      <w:r>
        <w:continuationSeparator/>
      </w:r>
    </w:p>
  </w:footnote>
  <w:footnote w:id="1">
    <w:p w14:paraId="42A72E78" w14:textId="737EFDC3" w:rsidR="00EC4832" w:rsidRPr="00F01FC7" w:rsidRDefault="00EC4832" w:rsidP="00EC4832">
      <w:pPr>
        <w:pStyle w:val="FootnoteText"/>
        <w:spacing w:after="120"/>
        <w:ind w:left="360" w:hanging="360"/>
        <w:rPr>
          <w:rFonts w:asciiTheme="majorHAnsi" w:hAnsiTheme="majorHAnsi"/>
        </w:rPr>
      </w:pPr>
      <w:r w:rsidRPr="00F01FC7">
        <w:rPr>
          <w:rStyle w:val="FootnoteReference"/>
          <w:rFonts w:asciiTheme="majorHAnsi" w:hAnsiTheme="majorHAnsi"/>
        </w:rPr>
        <w:footnoteRef/>
      </w:r>
      <w:r w:rsidRPr="00F01FC7">
        <w:rPr>
          <w:rFonts w:asciiTheme="majorHAnsi" w:hAnsiTheme="majorHAnsi"/>
        </w:rPr>
        <w:t xml:space="preserve"> See Association of </w:t>
      </w:r>
      <w:r w:rsidR="00547F0D">
        <w:rPr>
          <w:rFonts w:asciiTheme="majorHAnsi" w:hAnsiTheme="majorHAnsi"/>
        </w:rPr>
        <w:t>P</w:t>
      </w:r>
      <w:r w:rsidRPr="00F01FC7">
        <w:rPr>
          <w:rFonts w:asciiTheme="majorHAnsi" w:hAnsiTheme="majorHAnsi"/>
        </w:rPr>
        <w:t>eri</w:t>
      </w:r>
      <w:r w:rsidR="00547F0D">
        <w:rPr>
          <w:rFonts w:asciiTheme="majorHAnsi" w:hAnsiTheme="majorHAnsi"/>
        </w:rPr>
        <w:t>o</w:t>
      </w:r>
      <w:r w:rsidRPr="00F01FC7">
        <w:rPr>
          <w:rFonts w:asciiTheme="majorHAnsi" w:hAnsiTheme="majorHAnsi"/>
        </w:rPr>
        <w:t xml:space="preserve">perative Registered Nurses (AORN), Position Statement on the Role of the Health Care Industry Representative in Perioperative Settings, May 28, 2020, available at </w:t>
      </w:r>
      <w:hyperlink r:id="rId1" w:history="1">
        <w:r w:rsidRPr="00F01FC7">
          <w:rPr>
            <w:rStyle w:val="Hyperlink"/>
            <w:rFonts w:asciiTheme="majorHAnsi" w:hAnsiTheme="majorHAnsi"/>
          </w:rPr>
          <w:t>https://aornjournal.onlinelibrary.wiley.com/doi/full/10.1002/aorn.13065</w:t>
        </w:r>
      </w:hyperlink>
      <w:r w:rsidRPr="00F01FC7">
        <w:rPr>
          <w:rFonts w:asciiTheme="majorHAnsi" w:hAnsiTheme="majorHAnsi"/>
        </w:rPr>
        <w:t>.</w:t>
      </w:r>
    </w:p>
  </w:footnote>
  <w:footnote w:id="2">
    <w:p w14:paraId="22AE99AC" w14:textId="77777777" w:rsidR="00EC4832" w:rsidRPr="00F01FC7" w:rsidRDefault="00EC4832" w:rsidP="00EC4832">
      <w:pPr>
        <w:pStyle w:val="FootnoteText"/>
        <w:spacing w:after="120"/>
        <w:ind w:left="360" w:hanging="360"/>
        <w:rPr>
          <w:rFonts w:asciiTheme="majorHAnsi" w:hAnsiTheme="majorHAnsi"/>
        </w:rPr>
      </w:pPr>
      <w:r w:rsidRPr="00F01FC7">
        <w:rPr>
          <w:rStyle w:val="FootnoteReference"/>
          <w:rFonts w:asciiTheme="majorHAnsi" w:hAnsiTheme="majorHAnsi"/>
        </w:rPr>
        <w:footnoteRef/>
      </w:r>
      <w:r w:rsidRPr="00F01FC7">
        <w:rPr>
          <w:rFonts w:asciiTheme="majorHAnsi" w:hAnsiTheme="majorHAnsi"/>
        </w:rPr>
        <w:t xml:space="preserve"> American College of Surgeons (ACS). Revised Statement on Health Care Industry Representatives in the Operating Room, October 1, 2016, available at </w:t>
      </w:r>
      <w:hyperlink r:id="rId2" w:history="1">
        <w:r w:rsidRPr="00F01FC7">
          <w:rPr>
            <w:rStyle w:val="Hyperlink"/>
            <w:rFonts w:asciiTheme="majorHAnsi" w:hAnsiTheme="majorHAnsi"/>
          </w:rPr>
          <w:t>https://www.facs.org/about-acs/statements/91-industry-reps-in-or</w:t>
        </w:r>
      </w:hyperlink>
      <w:r w:rsidRPr="00F01FC7">
        <w:rPr>
          <w:rFonts w:asciiTheme="majorHAnsi" w:hAnsiTheme="majorHAnsi"/>
        </w:rPr>
        <w:t>.</w:t>
      </w:r>
    </w:p>
  </w:footnote>
  <w:footnote w:id="3">
    <w:p w14:paraId="1F4A1A6D" w14:textId="77777777" w:rsidR="00EC4832" w:rsidRPr="00F01FC7" w:rsidRDefault="00EC4832" w:rsidP="00EC4832">
      <w:pPr>
        <w:pStyle w:val="FootnoteText"/>
        <w:spacing w:after="120"/>
        <w:ind w:left="360" w:hanging="360"/>
        <w:rPr>
          <w:rFonts w:asciiTheme="majorHAnsi" w:hAnsiTheme="majorHAnsi"/>
        </w:rPr>
      </w:pPr>
      <w:r w:rsidRPr="00F01FC7">
        <w:rPr>
          <w:rStyle w:val="FootnoteReference"/>
          <w:rFonts w:asciiTheme="majorHAnsi" w:hAnsiTheme="majorHAnsi"/>
        </w:rPr>
        <w:footnoteRef/>
      </w:r>
      <w:r w:rsidRPr="00F01FC7">
        <w:rPr>
          <w:rFonts w:asciiTheme="majorHAnsi" w:hAnsiTheme="majorHAnsi"/>
        </w:rPr>
        <w:t xml:space="preserve"> </w:t>
      </w:r>
      <w:r w:rsidRPr="00F01FC7">
        <w:rPr>
          <w:rFonts w:asciiTheme="majorHAnsi" w:hAnsiTheme="majorHAnsi"/>
          <w:i/>
          <w:iCs/>
        </w:rPr>
        <w:t>See</w:t>
      </w:r>
      <w:r w:rsidRPr="00F01FC7">
        <w:rPr>
          <w:rFonts w:asciiTheme="majorHAnsi" w:hAnsiTheme="majorHAnsi"/>
        </w:rPr>
        <w:t xml:space="preserve"> American National Standard for Supplier Credentialing in Healthcare, ANSI/NEMA SC 1-2019, Contents and Scope available at </w:t>
      </w:r>
      <w:hyperlink r:id="rId3" w:history="1">
        <w:r w:rsidRPr="00F01FC7">
          <w:rPr>
            <w:rStyle w:val="Hyperlink"/>
            <w:rFonts w:asciiTheme="majorHAnsi" w:hAnsiTheme="majorHAnsi"/>
          </w:rPr>
          <w:t>https://webstore.ansi.org/preview-pages/NEMA/preview_ANSI+NEMA+SC+1-2019.pdf</w:t>
        </w:r>
      </w:hyperlink>
      <w:r w:rsidRPr="00F01FC7">
        <w:rPr>
          <w:rFonts w:asciiTheme="majorHAnsi" w:hAnsiTheme="majorHAnsi"/>
        </w:rPr>
        <w:t xml:space="preserve"> </w:t>
      </w:r>
    </w:p>
  </w:footnote>
  <w:footnote w:id="4">
    <w:p w14:paraId="78E49140" w14:textId="77777777" w:rsidR="00EC4832" w:rsidRPr="00F01FC7" w:rsidRDefault="00EC4832" w:rsidP="00EC4832">
      <w:pPr>
        <w:pStyle w:val="FootnoteText"/>
        <w:spacing w:after="120"/>
        <w:ind w:left="360" w:hanging="360"/>
        <w:rPr>
          <w:rFonts w:asciiTheme="majorHAnsi" w:hAnsiTheme="majorHAnsi"/>
        </w:rPr>
      </w:pPr>
      <w:r w:rsidRPr="00F01FC7">
        <w:rPr>
          <w:rStyle w:val="FootnoteReference"/>
          <w:rFonts w:asciiTheme="majorHAnsi" w:hAnsiTheme="majorHAnsi"/>
        </w:rPr>
        <w:footnoteRef/>
      </w:r>
      <w:r w:rsidRPr="00F01FC7">
        <w:rPr>
          <w:rFonts w:asciiTheme="majorHAnsi" w:hAnsiTheme="majorHAnsi"/>
        </w:rPr>
        <w:t xml:space="preserve"> See MITA and C4UHC Press Release, available at </w:t>
      </w:r>
      <w:hyperlink r:id="rId4" w:history="1">
        <w:r w:rsidRPr="00F01FC7">
          <w:rPr>
            <w:rStyle w:val="Hyperlink"/>
            <w:rFonts w:asciiTheme="majorHAnsi" w:hAnsiTheme="majorHAnsi"/>
          </w:rPr>
          <w:t>https://www.medicalimaging.org/wp-content/uploads/2020/05/20.05.05-Final_MITA-Credentialing-Standard-Release-DRAFT.docx-CLEAN-002-copy-1.pdf</w:t>
        </w:r>
      </w:hyperlink>
      <w:r w:rsidRPr="00F01FC7">
        <w:rPr>
          <w:rFonts w:asciiTheme="majorHAnsi" w:hAnsiTheme="majorHAnsi"/>
        </w:rPr>
        <w:t xml:space="preserve"> </w:t>
      </w:r>
    </w:p>
  </w:footnote>
  <w:footnote w:id="5">
    <w:p w14:paraId="73A5334A" w14:textId="72F5BE6D" w:rsidR="00EC4832" w:rsidRPr="00F01FC7" w:rsidRDefault="00EC4832" w:rsidP="00EC4832">
      <w:pPr>
        <w:pStyle w:val="FootnoteText"/>
        <w:spacing w:after="120"/>
        <w:ind w:left="360" w:hanging="360"/>
        <w:rPr>
          <w:rFonts w:asciiTheme="majorHAnsi" w:hAnsiTheme="majorHAnsi"/>
        </w:rPr>
      </w:pPr>
      <w:r w:rsidRPr="00F01FC7">
        <w:rPr>
          <w:rStyle w:val="FootnoteReference"/>
          <w:rFonts w:asciiTheme="majorHAnsi" w:hAnsiTheme="majorHAnsi"/>
        </w:rPr>
        <w:footnoteRef/>
      </w:r>
      <w:r w:rsidRPr="00F01FC7">
        <w:rPr>
          <w:rFonts w:asciiTheme="majorHAnsi" w:hAnsiTheme="majorHAnsi"/>
        </w:rPr>
        <w:t xml:space="preserve"> National Academies of Sciences, Engineering, and Medicine. 2020. </w:t>
      </w:r>
      <w:r w:rsidRPr="00F01FC7">
        <w:rPr>
          <w:rFonts w:asciiTheme="majorHAnsi" w:hAnsiTheme="majorHAnsi"/>
          <w:i/>
          <w:iCs/>
        </w:rPr>
        <w:t>Framework for Equitable Allocation of COVID-19 Vaccine.</w:t>
      </w:r>
      <w:r w:rsidRPr="00F01FC7">
        <w:rPr>
          <w:rFonts w:asciiTheme="majorHAnsi" w:hAnsiTheme="majorHAnsi"/>
        </w:rPr>
        <w:t xml:space="preserve"> (p. 107) Washington, DC: The National Academies Press.</w:t>
      </w:r>
      <w:r w:rsidR="00344241">
        <w:rPr>
          <w:rFonts w:asciiTheme="majorHAnsi" w:hAnsiTheme="majorHAnsi"/>
        </w:rPr>
        <w:t xml:space="preserve"> </w:t>
      </w:r>
      <w:hyperlink r:id="rId5" w:history="1">
        <w:r w:rsidR="00344241" w:rsidRPr="00F41718">
          <w:rPr>
            <w:rStyle w:val="Hyperlink"/>
            <w:rFonts w:asciiTheme="majorHAnsi" w:hAnsiTheme="majorHAnsi"/>
          </w:rPr>
          <w:t>https://doi.org/10.17226/25917</w:t>
        </w:r>
      </w:hyperlink>
      <w:r w:rsidRPr="00F01FC7">
        <w:rPr>
          <w:rFonts w:asciiTheme="majorHAnsi" w:hAnsiTheme="maj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64AE8"/>
    <w:multiLevelType w:val="hybridMultilevel"/>
    <w:tmpl w:val="DA84A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B2097E"/>
    <w:multiLevelType w:val="hybridMultilevel"/>
    <w:tmpl w:val="8966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15442"/>
    <w:multiLevelType w:val="hybridMultilevel"/>
    <w:tmpl w:val="3B0819E2"/>
    <w:lvl w:ilvl="0" w:tplc="0A5CCA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60CCB"/>
    <w:multiLevelType w:val="hybridMultilevel"/>
    <w:tmpl w:val="198EAF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E476556"/>
    <w:multiLevelType w:val="hybridMultilevel"/>
    <w:tmpl w:val="E7C409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FD3105"/>
    <w:multiLevelType w:val="hybridMultilevel"/>
    <w:tmpl w:val="A8682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8A0A38"/>
    <w:multiLevelType w:val="hybridMultilevel"/>
    <w:tmpl w:val="80FCA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69647C"/>
    <w:multiLevelType w:val="hybridMultilevel"/>
    <w:tmpl w:val="7606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EE3638"/>
    <w:multiLevelType w:val="hybridMultilevel"/>
    <w:tmpl w:val="8B8C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8"/>
  </w:num>
  <w:num w:numId="5">
    <w:abstractNumId w:val="7"/>
  </w:num>
  <w:num w:numId="6">
    <w:abstractNumId w:val="0"/>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E8C"/>
    <w:rsid w:val="000010E9"/>
    <w:rsid w:val="00001A15"/>
    <w:rsid w:val="00002597"/>
    <w:rsid w:val="000065AD"/>
    <w:rsid w:val="00010112"/>
    <w:rsid w:val="00011515"/>
    <w:rsid w:val="00011F57"/>
    <w:rsid w:val="0001482D"/>
    <w:rsid w:val="00017AD9"/>
    <w:rsid w:val="000209FB"/>
    <w:rsid w:val="00020BED"/>
    <w:rsid w:val="0002166F"/>
    <w:rsid w:val="00022026"/>
    <w:rsid w:val="00025255"/>
    <w:rsid w:val="000252E1"/>
    <w:rsid w:val="000253F8"/>
    <w:rsid w:val="0002610A"/>
    <w:rsid w:val="00026330"/>
    <w:rsid w:val="00030902"/>
    <w:rsid w:val="00031367"/>
    <w:rsid w:val="00036625"/>
    <w:rsid w:val="0004103C"/>
    <w:rsid w:val="00043131"/>
    <w:rsid w:val="000449DC"/>
    <w:rsid w:val="00050241"/>
    <w:rsid w:val="000514D8"/>
    <w:rsid w:val="000520C4"/>
    <w:rsid w:val="000528CC"/>
    <w:rsid w:val="0005373C"/>
    <w:rsid w:val="00053916"/>
    <w:rsid w:val="0005424F"/>
    <w:rsid w:val="0005703C"/>
    <w:rsid w:val="0006440E"/>
    <w:rsid w:val="000653F7"/>
    <w:rsid w:val="00065948"/>
    <w:rsid w:val="00065FC8"/>
    <w:rsid w:val="0007596B"/>
    <w:rsid w:val="00077EAE"/>
    <w:rsid w:val="00083EF1"/>
    <w:rsid w:val="00084B14"/>
    <w:rsid w:val="00085042"/>
    <w:rsid w:val="00085C30"/>
    <w:rsid w:val="00090F81"/>
    <w:rsid w:val="00091E00"/>
    <w:rsid w:val="00093326"/>
    <w:rsid w:val="00094642"/>
    <w:rsid w:val="000947E5"/>
    <w:rsid w:val="000957B3"/>
    <w:rsid w:val="00096067"/>
    <w:rsid w:val="000A38A1"/>
    <w:rsid w:val="000A4AE3"/>
    <w:rsid w:val="000A734B"/>
    <w:rsid w:val="000A78B1"/>
    <w:rsid w:val="000A7BC1"/>
    <w:rsid w:val="000B142A"/>
    <w:rsid w:val="000B2639"/>
    <w:rsid w:val="000B2E9D"/>
    <w:rsid w:val="000B31DA"/>
    <w:rsid w:val="000B6EBE"/>
    <w:rsid w:val="000C0C67"/>
    <w:rsid w:val="000C3CB5"/>
    <w:rsid w:val="000C42EC"/>
    <w:rsid w:val="000C4392"/>
    <w:rsid w:val="000C5C9E"/>
    <w:rsid w:val="000C6603"/>
    <w:rsid w:val="000C747F"/>
    <w:rsid w:val="000D301F"/>
    <w:rsid w:val="000D37AA"/>
    <w:rsid w:val="000E0C11"/>
    <w:rsid w:val="000E204F"/>
    <w:rsid w:val="000E2875"/>
    <w:rsid w:val="000E6258"/>
    <w:rsid w:val="000F18DF"/>
    <w:rsid w:val="000F1C6F"/>
    <w:rsid w:val="000F4477"/>
    <w:rsid w:val="001000E6"/>
    <w:rsid w:val="00101EDA"/>
    <w:rsid w:val="00102C37"/>
    <w:rsid w:val="00112221"/>
    <w:rsid w:val="00117539"/>
    <w:rsid w:val="00120C3C"/>
    <w:rsid w:val="00122960"/>
    <w:rsid w:val="001237F6"/>
    <w:rsid w:val="001279B0"/>
    <w:rsid w:val="00130FDD"/>
    <w:rsid w:val="001321F7"/>
    <w:rsid w:val="001346C8"/>
    <w:rsid w:val="00135F01"/>
    <w:rsid w:val="00143869"/>
    <w:rsid w:val="00144100"/>
    <w:rsid w:val="00151C5A"/>
    <w:rsid w:val="00153C37"/>
    <w:rsid w:val="00155E08"/>
    <w:rsid w:val="00156493"/>
    <w:rsid w:val="0015734E"/>
    <w:rsid w:val="00164251"/>
    <w:rsid w:val="00165A80"/>
    <w:rsid w:val="00167471"/>
    <w:rsid w:val="00167C67"/>
    <w:rsid w:val="00167C97"/>
    <w:rsid w:val="001704DF"/>
    <w:rsid w:val="001718F8"/>
    <w:rsid w:val="00173864"/>
    <w:rsid w:val="001757AD"/>
    <w:rsid w:val="0018270C"/>
    <w:rsid w:val="00184ED5"/>
    <w:rsid w:val="00185FDB"/>
    <w:rsid w:val="001878C3"/>
    <w:rsid w:val="0019154C"/>
    <w:rsid w:val="00191B50"/>
    <w:rsid w:val="00191CD8"/>
    <w:rsid w:val="00192725"/>
    <w:rsid w:val="0019312A"/>
    <w:rsid w:val="00193501"/>
    <w:rsid w:val="00195044"/>
    <w:rsid w:val="001A25D2"/>
    <w:rsid w:val="001A4EFF"/>
    <w:rsid w:val="001B1540"/>
    <w:rsid w:val="001B5787"/>
    <w:rsid w:val="001B5816"/>
    <w:rsid w:val="001B6C0E"/>
    <w:rsid w:val="001C0B6F"/>
    <w:rsid w:val="001C1214"/>
    <w:rsid w:val="001C1524"/>
    <w:rsid w:val="001C23A4"/>
    <w:rsid w:val="001C2C8D"/>
    <w:rsid w:val="001C2DC0"/>
    <w:rsid w:val="001C728C"/>
    <w:rsid w:val="001D094E"/>
    <w:rsid w:val="001D0C2D"/>
    <w:rsid w:val="001D46EE"/>
    <w:rsid w:val="001D5FD6"/>
    <w:rsid w:val="001D7E12"/>
    <w:rsid w:val="001E3F66"/>
    <w:rsid w:val="001E5400"/>
    <w:rsid w:val="001F38BE"/>
    <w:rsid w:val="001F3B70"/>
    <w:rsid w:val="001F7531"/>
    <w:rsid w:val="001F7D34"/>
    <w:rsid w:val="001F7D4A"/>
    <w:rsid w:val="0020143B"/>
    <w:rsid w:val="0020186C"/>
    <w:rsid w:val="0020355E"/>
    <w:rsid w:val="00206988"/>
    <w:rsid w:val="002125A1"/>
    <w:rsid w:val="00212A7D"/>
    <w:rsid w:val="00214D68"/>
    <w:rsid w:val="002151B0"/>
    <w:rsid w:val="00216483"/>
    <w:rsid w:val="0022350E"/>
    <w:rsid w:val="00224923"/>
    <w:rsid w:val="00230EF1"/>
    <w:rsid w:val="00230F3C"/>
    <w:rsid w:val="00235A9E"/>
    <w:rsid w:val="0023765B"/>
    <w:rsid w:val="002401DB"/>
    <w:rsid w:val="002428D0"/>
    <w:rsid w:val="00244510"/>
    <w:rsid w:val="00250740"/>
    <w:rsid w:val="0025208C"/>
    <w:rsid w:val="0025483C"/>
    <w:rsid w:val="00255060"/>
    <w:rsid w:val="002606D5"/>
    <w:rsid w:val="00260DE6"/>
    <w:rsid w:val="00265773"/>
    <w:rsid w:val="00272014"/>
    <w:rsid w:val="002724D4"/>
    <w:rsid w:val="002748F0"/>
    <w:rsid w:val="0027602D"/>
    <w:rsid w:val="00286914"/>
    <w:rsid w:val="00295589"/>
    <w:rsid w:val="002955D5"/>
    <w:rsid w:val="0029588D"/>
    <w:rsid w:val="00296A10"/>
    <w:rsid w:val="002A1098"/>
    <w:rsid w:val="002A2ED9"/>
    <w:rsid w:val="002A6021"/>
    <w:rsid w:val="002A7E39"/>
    <w:rsid w:val="002B053E"/>
    <w:rsid w:val="002B0FCA"/>
    <w:rsid w:val="002C1D84"/>
    <w:rsid w:val="002C385E"/>
    <w:rsid w:val="002C3885"/>
    <w:rsid w:val="002C4E8C"/>
    <w:rsid w:val="002C5F13"/>
    <w:rsid w:val="002C79E7"/>
    <w:rsid w:val="002D3B0D"/>
    <w:rsid w:val="002D436D"/>
    <w:rsid w:val="002E06EE"/>
    <w:rsid w:val="002E24EE"/>
    <w:rsid w:val="002E27DD"/>
    <w:rsid w:val="002E3623"/>
    <w:rsid w:val="002E4B8A"/>
    <w:rsid w:val="002E5341"/>
    <w:rsid w:val="002E6800"/>
    <w:rsid w:val="002F5104"/>
    <w:rsid w:val="002F5CC5"/>
    <w:rsid w:val="002F7063"/>
    <w:rsid w:val="002F7E0D"/>
    <w:rsid w:val="00300A03"/>
    <w:rsid w:val="003016D3"/>
    <w:rsid w:val="00302064"/>
    <w:rsid w:val="003020B5"/>
    <w:rsid w:val="00302AED"/>
    <w:rsid w:val="003042BF"/>
    <w:rsid w:val="0030512A"/>
    <w:rsid w:val="00305289"/>
    <w:rsid w:val="00313E28"/>
    <w:rsid w:val="00314998"/>
    <w:rsid w:val="00314C18"/>
    <w:rsid w:val="00321B04"/>
    <w:rsid w:val="0032349B"/>
    <w:rsid w:val="00323ED4"/>
    <w:rsid w:val="00324B6F"/>
    <w:rsid w:val="003269D6"/>
    <w:rsid w:val="00326B53"/>
    <w:rsid w:val="0032710D"/>
    <w:rsid w:val="00327CD5"/>
    <w:rsid w:val="00336B4B"/>
    <w:rsid w:val="00336EB1"/>
    <w:rsid w:val="00337845"/>
    <w:rsid w:val="003416F8"/>
    <w:rsid w:val="00344241"/>
    <w:rsid w:val="00350512"/>
    <w:rsid w:val="00351E1F"/>
    <w:rsid w:val="003530F3"/>
    <w:rsid w:val="00354B6C"/>
    <w:rsid w:val="0035708E"/>
    <w:rsid w:val="003615A1"/>
    <w:rsid w:val="0036230D"/>
    <w:rsid w:val="0036289C"/>
    <w:rsid w:val="003643DF"/>
    <w:rsid w:val="003761EE"/>
    <w:rsid w:val="00376EAD"/>
    <w:rsid w:val="00382F01"/>
    <w:rsid w:val="00383785"/>
    <w:rsid w:val="00385194"/>
    <w:rsid w:val="00390F38"/>
    <w:rsid w:val="00393A1D"/>
    <w:rsid w:val="00395119"/>
    <w:rsid w:val="003951BD"/>
    <w:rsid w:val="00395816"/>
    <w:rsid w:val="003A0467"/>
    <w:rsid w:val="003A3B72"/>
    <w:rsid w:val="003A7B18"/>
    <w:rsid w:val="003B51FE"/>
    <w:rsid w:val="003B6118"/>
    <w:rsid w:val="003B7E1A"/>
    <w:rsid w:val="003C0B8C"/>
    <w:rsid w:val="003C0E65"/>
    <w:rsid w:val="003C1A5D"/>
    <w:rsid w:val="003C4347"/>
    <w:rsid w:val="003D660F"/>
    <w:rsid w:val="003D7527"/>
    <w:rsid w:val="003E38CB"/>
    <w:rsid w:val="003E39C5"/>
    <w:rsid w:val="003F0F80"/>
    <w:rsid w:val="003F14D5"/>
    <w:rsid w:val="003F28FE"/>
    <w:rsid w:val="003F68C1"/>
    <w:rsid w:val="003F7B98"/>
    <w:rsid w:val="00405514"/>
    <w:rsid w:val="00406AB2"/>
    <w:rsid w:val="00410073"/>
    <w:rsid w:val="004100E9"/>
    <w:rsid w:val="004120C2"/>
    <w:rsid w:val="004122FF"/>
    <w:rsid w:val="0041359A"/>
    <w:rsid w:val="00413CDA"/>
    <w:rsid w:val="00415721"/>
    <w:rsid w:val="004201E1"/>
    <w:rsid w:val="0044419B"/>
    <w:rsid w:val="00444BD5"/>
    <w:rsid w:val="00445EDB"/>
    <w:rsid w:val="0044647F"/>
    <w:rsid w:val="004508B2"/>
    <w:rsid w:val="00454D5E"/>
    <w:rsid w:val="004559D3"/>
    <w:rsid w:val="00455BE4"/>
    <w:rsid w:val="00457931"/>
    <w:rsid w:val="00461CA4"/>
    <w:rsid w:val="0046285A"/>
    <w:rsid w:val="00462E9A"/>
    <w:rsid w:val="0046662D"/>
    <w:rsid w:val="00474FB7"/>
    <w:rsid w:val="00481A81"/>
    <w:rsid w:val="00482982"/>
    <w:rsid w:val="004853C4"/>
    <w:rsid w:val="00487AFF"/>
    <w:rsid w:val="00490DD4"/>
    <w:rsid w:val="00494B64"/>
    <w:rsid w:val="00497215"/>
    <w:rsid w:val="004A3B59"/>
    <w:rsid w:val="004A68A4"/>
    <w:rsid w:val="004C07D3"/>
    <w:rsid w:val="004C12A8"/>
    <w:rsid w:val="004C17AE"/>
    <w:rsid w:val="004C1DF2"/>
    <w:rsid w:val="004C3044"/>
    <w:rsid w:val="004C45FA"/>
    <w:rsid w:val="004C6101"/>
    <w:rsid w:val="004C6740"/>
    <w:rsid w:val="004D50C3"/>
    <w:rsid w:val="004D59AE"/>
    <w:rsid w:val="004E0277"/>
    <w:rsid w:val="004E2B79"/>
    <w:rsid w:val="004E3978"/>
    <w:rsid w:val="004E3EFF"/>
    <w:rsid w:val="004F27F6"/>
    <w:rsid w:val="004F5657"/>
    <w:rsid w:val="004F6225"/>
    <w:rsid w:val="004F64C8"/>
    <w:rsid w:val="004F6A6B"/>
    <w:rsid w:val="005021F9"/>
    <w:rsid w:val="005034D3"/>
    <w:rsid w:val="005053A1"/>
    <w:rsid w:val="0050753D"/>
    <w:rsid w:val="00512FF2"/>
    <w:rsid w:val="005130EB"/>
    <w:rsid w:val="00513FD8"/>
    <w:rsid w:val="00517304"/>
    <w:rsid w:val="00521525"/>
    <w:rsid w:val="00521892"/>
    <w:rsid w:val="00525264"/>
    <w:rsid w:val="005327F6"/>
    <w:rsid w:val="00533D13"/>
    <w:rsid w:val="00533F72"/>
    <w:rsid w:val="0053508F"/>
    <w:rsid w:val="00535573"/>
    <w:rsid w:val="005430A1"/>
    <w:rsid w:val="00546E78"/>
    <w:rsid w:val="00547F0D"/>
    <w:rsid w:val="0055526B"/>
    <w:rsid w:val="00557986"/>
    <w:rsid w:val="00563009"/>
    <w:rsid w:val="005664FF"/>
    <w:rsid w:val="005671EA"/>
    <w:rsid w:val="00567CC8"/>
    <w:rsid w:val="00576A26"/>
    <w:rsid w:val="00581D69"/>
    <w:rsid w:val="00582905"/>
    <w:rsid w:val="00583F56"/>
    <w:rsid w:val="00586896"/>
    <w:rsid w:val="0059719F"/>
    <w:rsid w:val="00597339"/>
    <w:rsid w:val="005A2482"/>
    <w:rsid w:val="005A311F"/>
    <w:rsid w:val="005B0027"/>
    <w:rsid w:val="005B0190"/>
    <w:rsid w:val="005B083E"/>
    <w:rsid w:val="005B12E2"/>
    <w:rsid w:val="005B20C2"/>
    <w:rsid w:val="005B3A0A"/>
    <w:rsid w:val="005B79FE"/>
    <w:rsid w:val="005C0136"/>
    <w:rsid w:val="005C1E79"/>
    <w:rsid w:val="005C34AC"/>
    <w:rsid w:val="005C46C7"/>
    <w:rsid w:val="005C47A4"/>
    <w:rsid w:val="005C55BD"/>
    <w:rsid w:val="005C5890"/>
    <w:rsid w:val="005C6B72"/>
    <w:rsid w:val="005C6F19"/>
    <w:rsid w:val="005C74AF"/>
    <w:rsid w:val="005D524B"/>
    <w:rsid w:val="005D533C"/>
    <w:rsid w:val="005D71BE"/>
    <w:rsid w:val="005D7DE1"/>
    <w:rsid w:val="005E2104"/>
    <w:rsid w:val="005E2B46"/>
    <w:rsid w:val="005E5BA4"/>
    <w:rsid w:val="005F390F"/>
    <w:rsid w:val="005F3F97"/>
    <w:rsid w:val="005F6D6F"/>
    <w:rsid w:val="005F7BAE"/>
    <w:rsid w:val="005F7D88"/>
    <w:rsid w:val="006008E6"/>
    <w:rsid w:val="00602943"/>
    <w:rsid w:val="00605A2B"/>
    <w:rsid w:val="00607D62"/>
    <w:rsid w:val="00612345"/>
    <w:rsid w:val="00617088"/>
    <w:rsid w:val="006259D1"/>
    <w:rsid w:val="00627867"/>
    <w:rsid w:val="006302C4"/>
    <w:rsid w:val="0063477E"/>
    <w:rsid w:val="0063604F"/>
    <w:rsid w:val="00636D1F"/>
    <w:rsid w:val="0063750F"/>
    <w:rsid w:val="006407F3"/>
    <w:rsid w:val="0064199B"/>
    <w:rsid w:val="006428BE"/>
    <w:rsid w:val="00643929"/>
    <w:rsid w:val="006461D4"/>
    <w:rsid w:val="006513F9"/>
    <w:rsid w:val="006531CF"/>
    <w:rsid w:val="006546EA"/>
    <w:rsid w:val="00654D0F"/>
    <w:rsid w:val="00655147"/>
    <w:rsid w:val="00655652"/>
    <w:rsid w:val="00656BF8"/>
    <w:rsid w:val="00661B94"/>
    <w:rsid w:val="006624F5"/>
    <w:rsid w:val="00663C9E"/>
    <w:rsid w:val="00665391"/>
    <w:rsid w:val="0066547B"/>
    <w:rsid w:val="00672451"/>
    <w:rsid w:val="00673207"/>
    <w:rsid w:val="006751D7"/>
    <w:rsid w:val="0067639F"/>
    <w:rsid w:val="00676B27"/>
    <w:rsid w:val="006858EB"/>
    <w:rsid w:val="00690F03"/>
    <w:rsid w:val="00696D8D"/>
    <w:rsid w:val="006A0D46"/>
    <w:rsid w:val="006A2881"/>
    <w:rsid w:val="006A3605"/>
    <w:rsid w:val="006A3794"/>
    <w:rsid w:val="006A619E"/>
    <w:rsid w:val="006B25A5"/>
    <w:rsid w:val="006B50B8"/>
    <w:rsid w:val="006C4275"/>
    <w:rsid w:val="006C5431"/>
    <w:rsid w:val="006C675B"/>
    <w:rsid w:val="006D2AAF"/>
    <w:rsid w:val="006D2E41"/>
    <w:rsid w:val="006D5051"/>
    <w:rsid w:val="006E0409"/>
    <w:rsid w:val="006F0E99"/>
    <w:rsid w:val="006F29D7"/>
    <w:rsid w:val="00705C05"/>
    <w:rsid w:val="00712FBE"/>
    <w:rsid w:val="00713479"/>
    <w:rsid w:val="00714DEE"/>
    <w:rsid w:val="00716597"/>
    <w:rsid w:val="0072166D"/>
    <w:rsid w:val="007221A6"/>
    <w:rsid w:val="007245D4"/>
    <w:rsid w:val="00730C37"/>
    <w:rsid w:val="00731917"/>
    <w:rsid w:val="007343C4"/>
    <w:rsid w:val="007361BC"/>
    <w:rsid w:val="00736BC6"/>
    <w:rsid w:val="00742658"/>
    <w:rsid w:val="00743FBF"/>
    <w:rsid w:val="00744129"/>
    <w:rsid w:val="00760258"/>
    <w:rsid w:val="007625F0"/>
    <w:rsid w:val="00762CE6"/>
    <w:rsid w:val="007662CF"/>
    <w:rsid w:val="0076756C"/>
    <w:rsid w:val="007764BC"/>
    <w:rsid w:val="0078341C"/>
    <w:rsid w:val="00783944"/>
    <w:rsid w:val="0079090C"/>
    <w:rsid w:val="007912B8"/>
    <w:rsid w:val="00793B07"/>
    <w:rsid w:val="007A4BD2"/>
    <w:rsid w:val="007A7DFD"/>
    <w:rsid w:val="007B18AA"/>
    <w:rsid w:val="007B6FF6"/>
    <w:rsid w:val="007C2D85"/>
    <w:rsid w:val="007C4291"/>
    <w:rsid w:val="007D3115"/>
    <w:rsid w:val="007D6302"/>
    <w:rsid w:val="007E3282"/>
    <w:rsid w:val="007E521E"/>
    <w:rsid w:val="007E6D63"/>
    <w:rsid w:val="007F4520"/>
    <w:rsid w:val="007F5C44"/>
    <w:rsid w:val="00800D9B"/>
    <w:rsid w:val="00802B0A"/>
    <w:rsid w:val="008038CD"/>
    <w:rsid w:val="00803FD9"/>
    <w:rsid w:val="008043CC"/>
    <w:rsid w:val="008057CC"/>
    <w:rsid w:val="008064C3"/>
    <w:rsid w:val="008070FB"/>
    <w:rsid w:val="00807978"/>
    <w:rsid w:val="00811703"/>
    <w:rsid w:val="00813619"/>
    <w:rsid w:val="00813F18"/>
    <w:rsid w:val="00814DD7"/>
    <w:rsid w:val="00816803"/>
    <w:rsid w:val="00821185"/>
    <w:rsid w:val="0082326D"/>
    <w:rsid w:val="00827895"/>
    <w:rsid w:val="00831AD9"/>
    <w:rsid w:val="00833043"/>
    <w:rsid w:val="00835410"/>
    <w:rsid w:val="00836E81"/>
    <w:rsid w:val="00837CBE"/>
    <w:rsid w:val="0084026A"/>
    <w:rsid w:val="008403BF"/>
    <w:rsid w:val="0084059A"/>
    <w:rsid w:val="0084361B"/>
    <w:rsid w:val="008457E6"/>
    <w:rsid w:val="00850FAD"/>
    <w:rsid w:val="008518E0"/>
    <w:rsid w:val="00853EFB"/>
    <w:rsid w:val="00853F52"/>
    <w:rsid w:val="00854CEC"/>
    <w:rsid w:val="00854E1F"/>
    <w:rsid w:val="00855479"/>
    <w:rsid w:val="008563F7"/>
    <w:rsid w:val="00857801"/>
    <w:rsid w:val="00864665"/>
    <w:rsid w:val="00870D02"/>
    <w:rsid w:val="008719CB"/>
    <w:rsid w:val="00875D75"/>
    <w:rsid w:val="0087622B"/>
    <w:rsid w:val="008845F6"/>
    <w:rsid w:val="00884D58"/>
    <w:rsid w:val="008859BC"/>
    <w:rsid w:val="008864D7"/>
    <w:rsid w:val="00886899"/>
    <w:rsid w:val="0089001B"/>
    <w:rsid w:val="00890B24"/>
    <w:rsid w:val="00890B65"/>
    <w:rsid w:val="00893195"/>
    <w:rsid w:val="00894499"/>
    <w:rsid w:val="00895321"/>
    <w:rsid w:val="008953F9"/>
    <w:rsid w:val="0089570B"/>
    <w:rsid w:val="00895FB6"/>
    <w:rsid w:val="008B020F"/>
    <w:rsid w:val="008B23C6"/>
    <w:rsid w:val="008B30E5"/>
    <w:rsid w:val="008B553E"/>
    <w:rsid w:val="008B6027"/>
    <w:rsid w:val="008C1F85"/>
    <w:rsid w:val="008C4F44"/>
    <w:rsid w:val="008C69FD"/>
    <w:rsid w:val="008C7090"/>
    <w:rsid w:val="008D0284"/>
    <w:rsid w:val="008E1DAA"/>
    <w:rsid w:val="008E2D5C"/>
    <w:rsid w:val="008E3658"/>
    <w:rsid w:val="008E6F34"/>
    <w:rsid w:val="008F099D"/>
    <w:rsid w:val="008F1678"/>
    <w:rsid w:val="008F22B0"/>
    <w:rsid w:val="008F6BBB"/>
    <w:rsid w:val="008F6E7A"/>
    <w:rsid w:val="00900839"/>
    <w:rsid w:val="009037A2"/>
    <w:rsid w:val="009059D0"/>
    <w:rsid w:val="00911188"/>
    <w:rsid w:val="009143D8"/>
    <w:rsid w:val="00914FF9"/>
    <w:rsid w:val="00915253"/>
    <w:rsid w:val="009229E4"/>
    <w:rsid w:val="00922F67"/>
    <w:rsid w:val="009246AF"/>
    <w:rsid w:val="009256B1"/>
    <w:rsid w:val="00925C7D"/>
    <w:rsid w:val="0092707D"/>
    <w:rsid w:val="00930FE3"/>
    <w:rsid w:val="00932315"/>
    <w:rsid w:val="0093266E"/>
    <w:rsid w:val="009361D5"/>
    <w:rsid w:val="00937C7A"/>
    <w:rsid w:val="00951B06"/>
    <w:rsid w:val="00952F35"/>
    <w:rsid w:val="0095375C"/>
    <w:rsid w:val="0095469C"/>
    <w:rsid w:val="009568DE"/>
    <w:rsid w:val="0095741B"/>
    <w:rsid w:val="00960DAA"/>
    <w:rsid w:val="0096245D"/>
    <w:rsid w:val="009648D4"/>
    <w:rsid w:val="00966E9D"/>
    <w:rsid w:val="009734A6"/>
    <w:rsid w:val="00974A09"/>
    <w:rsid w:val="0097567D"/>
    <w:rsid w:val="00975851"/>
    <w:rsid w:val="009776D2"/>
    <w:rsid w:val="00982F72"/>
    <w:rsid w:val="00983B44"/>
    <w:rsid w:val="0098419F"/>
    <w:rsid w:val="00985779"/>
    <w:rsid w:val="00987DCD"/>
    <w:rsid w:val="00992212"/>
    <w:rsid w:val="009957FA"/>
    <w:rsid w:val="00995C07"/>
    <w:rsid w:val="009A0899"/>
    <w:rsid w:val="009A21B1"/>
    <w:rsid w:val="009A2A45"/>
    <w:rsid w:val="009A35B4"/>
    <w:rsid w:val="009A3CFF"/>
    <w:rsid w:val="009A6385"/>
    <w:rsid w:val="009A6CE9"/>
    <w:rsid w:val="009A71AD"/>
    <w:rsid w:val="009A79A1"/>
    <w:rsid w:val="009B29EB"/>
    <w:rsid w:val="009B31D0"/>
    <w:rsid w:val="009B32AE"/>
    <w:rsid w:val="009B75C4"/>
    <w:rsid w:val="009C36E0"/>
    <w:rsid w:val="009C59EE"/>
    <w:rsid w:val="009C666C"/>
    <w:rsid w:val="009D2240"/>
    <w:rsid w:val="009D5818"/>
    <w:rsid w:val="009D5DF6"/>
    <w:rsid w:val="009D75CA"/>
    <w:rsid w:val="009E07CA"/>
    <w:rsid w:val="009E32E9"/>
    <w:rsid w:val="009E418B"/>
    <w:rsid w:val="009F04FA"/>
    <w:rsid w:val="009F310E"/>
    <w:rsid w:val="009F4B2E"/>
    <w:rsid w:val="009F68DE"/>
    <w:rsid w:val="009F794F"/>
    <w:rsid w:val="00A037E3"/>
    <w:rsid w:val="00A20477"/>
    <w:rsid w:val="00A217E7"/>
    <w:rsid w:val="00A244EA"/>
    <w:rsid w:val="00A2731F"/>
    <w:rsid w:val="00A302F8"/>
    <w:rsid w:val="00A30F5A"/>
    <w:rsid w:val="00A31261"/>
    <w:rsid w:val="00A32B4A"/>
    <w:rsid w:val="00A40945"/>
    <w:rsid w:val="00A41445"/>
    <w:rsid w:val="00A41FB9"/>
    <w:rsid w:val="00A45FC4"/>
    <w:rsid w:val="00A478C3"/>
    <w:rsid w:val="00A50CDB"/>
    <w:rsid w:val="00A536DD"/>
    <w:rsid w:val="00A53920"/>
    <w:rsid w:val="00A57C5A"/>
    <w:rsid w:val="00A6092A"/>
    <w:rsid w:val="00A60BB5"/>
    <w:rsid w:val="00A65A8E"/>
    <w:rsid w:val="00A65BA6"/>
    <w:rsid w:val="00A65C04"/>
    <w:rsid w:val="00A6668A"/>
    <w:rsid w:val="00A66C2C"/>
    <w:rsid w:val="00A67746"/>
    <w:rsid w:val="00A720B2"/>
    <w:rsid w:val="00A728B9"/>
    <w:rsid w:val="00A7372D"/>
    <w:rsid w:val="00A74969"/>
    <w:rsid w:val="00A802DD"/>
    <w:rsid w:val="00A81300"/>
    <w:rsid w:val="00A818AD"/>
    <w:rsid w:val="00A823ED"/>
    <w:rsid w:val="00A83D47"/>
    <w:rsid w:val="00A8449F"/>
    <w:rsid w:val="00A85B6D"/>
    <w:rsid w:val="00A85BAB"/>
    <w:rsid w:val="00A87652"/>
    <w:rsid w:val="00A92CEC"/>
    <w:rsid w:val="00A93773"/>
    <w:rsid w:val="00A940EB"/>
    <w:rsid w:val="00AA03A7"/>
    <w:rsid w:val="00AA0BB6"/>
    <w:rsid w:val="00AA19AB"/>
    <w:rsid w:val="00AA2D90"/>
    <w:rsid w:val="00AA3D4A"/>
    <w:rsid w:val="00AA6047"/>
    <w:rsid w:val="00AB3487"/>
    <w:rsid w:val="00AB4FF0"/>
    <w:rsid w:val="00AB66CE"/>
    <w:rsid w:val="00AC1B15"/>
    <w:rsid w:val="00AC1DBD"/>
    <w:rsid w:val="00AC32EC"/>
    <w:rsid w:val="00AC5A9C"/>
    <w:rsid w:val="00AD2DCC"/>
    <w:rsid w:val="00AD46A6"/>
    <w:rsid w:val="00AD4AC7"/>
    <w:rsid w:val="00AD599A"/>
    <w:rsid w:val="00AD7A00"/>
    <w:rsid w:val="00AE3405"/>
    <w:rsid w:val="00AE3F34"/>
    <w:rsid w:val="00AE5AFF"/>
    <w:rsid w:val="00AE77D5"/>
    <w:rsid w:val="00AE7CC8"/>
    <w:rsid w:val="00AF4D67"/>
    <w:rsid w:val="00B001E2"/>
    <w:rsid w:val="00B01C38"/>
    <w:rsid w:val="00B01C44"/>
    <w:rsid w:val="00B02972"/>
    <w:rsid w:val="00B029CA"/>
    <w:rsid w:val="00B13BE0"/>
    <w:rsid w:val="00B1485F"/>
    <w:rsid w:val="00B15C4A"/>
    <w:rsid w:val="00B15FD1"/>
    <w:rsid w:val="00B16C91"/>
    <w:rsid w:val="00B177DA"/>
    <w:rsid w:val="00B21435"/>
    <w:rsid w:val="00B2172D"/>
    <w:rsid w:val="00B22AA6"/>
    <w:rsid w:val="00B23A1A"/>
    <w:rsid w:val="00B23ABE"/>
    <w:rsid w:val="00B24C25"/>
    <w:rsid w:val="00B32422"/>
    <w:rsid w:val="00B335A4"/>
    <w:rsid w:val="00B33F3A"/>
    <w:rsid w:val="00B40CFD"/>
    <w:rsid w:val="00B46EE3"/>
    <w:rsid w:val="00B472E6"/>
    <w:rsid w:val="00B52D6E"/>
    <w:rsid w:val="00B54606"/>
    <w:rsid w:val="00B5580E"/>
    <w:rsid w:val="00B55F3F"/>
    <w:rsid w:val="00B627A3"/>
    <w:rsid w:val="00B727DD"/>
    <w:rsid w:val="00B735E0"/>
    <w:rsid w:val="00B7373B"/>
    <w:rsid w:val="00B74B78"/>
    <w:rsid w:val="00B802E2"/>
    <w:rsid w:val="00B815D5"/>
    <w:rsid w:val="00B86460"/>
    <w:rsid w:val="00B871CC"/>
    <w:rsid w:val="00B872B1"/>
    <w:rsid w:val="00B8756D"/>
    <w:rsid w:val="00B877D2"/>
    <w:rsid w:val="00B90668"/>
    <w:rsid w:val="00B91DF4"/>
    <w:rsid w:val="00BA524B"/>
    <w:rsid w:val="00BA7FDF"/>
    <w:rsid w:val="00BB54BC"/>
    <w:rsid w:val="00BC389B"/>
    <w:rsid w:val="00BC4AD7"/>
    <w:rsid w:val="00BD47FE"/>
    <w:rsid w:val="00BD6F97"/>
    <w:rsid w:val="00BD7120"/>
    <w:rsid w:val="00BE0FF6"/>
    <w:rsid w:val="00BE122A"/>
    <w:rsid w:val="00BE1392"/>
    <w:rsid w:val="00BE3A90"/>
    <w:rsid w:val="00BF278A"/>
    <w:rsid w:val="00BF4A69"/>
    <w:rsid w:val="00BF50F9"/>
    <w:rsid w:val="00BF71AF"/>
    <w:rsid w:val="00C0104C"/>
    <w:rsid w:val="00C02DB2"/>
    <w:rsid w:val="00C03EED"/>
    <w:rsid w:val="00C05D9E"/>
    <w:rsid w:val="00C113F1"/>
    <w:rsid w:val="00C16C47"/>
    <w:rsid w:val="00C1780C"/>
    <w:rsid w:val="00C17D57"/>
    <w:rsid w:val="00C20ED3"/>
    <w:rsid w:val="00C22199"/>
    <w:rsid w:val="00C22593"/>
    <w:rsid w:val="00C23F9F"/>
    <w:rsid w:val="00C264F2"/>
    <w:rsid w:val="00C26D65"/>
    <w:rsid w:val="00C30460"/>
    <w:rsid w:val="00C307C3"/>
    <w:rsid w:val="00C33049"/>
    <w:rsid w:val="00C43209"/>
    <w:rsid w:val="00C44733"/>
    <w:rsid w:val="00C44D33"/>
    <w:rsid w:val="00C472A4"/>
    <w:rsid w:val="00C47F30"/>
    <w:rsid w:val="00C52A06"/>
    <w:rsid w:val="00C52A60"/>
    <w:rsid w:val="00C530D4"/>
    <w:rsid w:val="00C54205"/>
    <w:rsid w:val="00C55030"/>
    <w:rsid w:val="00C610A3"/>
    <w:rsid w:val="00C616AA"/>
    <w:rsid w:val="00C62933"/>
    <w:rsid w:val="00C62B1C"/>
    <w:rsid w:val="00C70832"/>
    <w:rsid w:val="00C77278"/>
    <w:rsid w:val="00C81A34"/>
    <w:rsid w:val="00C82A4D"/>
    <w:rsid w:val="00C82B3A"/>
    <w:rsid w:val="00C870DC"/>
    <w:rsid w:val="00C91D9E"/>
    <w:rsid w:val="00C93C79"/>
    <w:rsid w:val="00C945D3"/>
    <w:rsid w:val="00C96BF8"/>
    <w:rsid w:val="00CA22D5"/>
    <w:rsid w:val="00CA5A6D"/>
    <w:rsid w:val="00CA5F44"/>
    <w:rsid w:val="00CB1118"/>
    <w:rsid w:val="00CB146D"/>
    <w:rsid w:val="00CB78D6"/>
    <w:rsid w:val="00CC11CF"/>
    <w:rsid w:val="00CC19AF"/>
    <w:rsid w:val="00CC2E2D"/>
    <w:rsid w:val="00CD035E"/>
    <w:rsid w:val="00CD1884"/>
    <w:rsid w:val="00CD4093"/>
    <w:rsid w:val="00CE2D9A"/>
    <w:rsid w:val="00CE35E7"/>
    <w:rsid w:val="00CE4409"/>
    <w:rsid w:val="00CE699C"/>
    <w:rsid w:val="00CE6ABD"/>
    <w:rsid w:val="00CF7D57"/>
    <w:rsid w:val="00D00064"/>
    <w:rsid w:val="00D0263A"/>
    <w:rsid w:val="00D06AFF"/>
    <w:rsid w:val="00D070C7"/>
    <w:rsid w:val="00D11082"/>
    <w:rsid w:val="00D1188C"/>
    <w:rsid w:val="00D12BC2"/>
    <w:rsid w:val="00D138F1"/>
    <w:rsid w:val="00D1578E"/>
    <w:rsid w:val="00D1645F"/>
    <w:rsid w:val="00D23BEF"/>
    <w:rsid w:val="00D32B23"/>
    <w:rsid w:val="00D42B30"/>
    <w:rsid w:val="00D44F35"/>
    <w:rsid w:val="00D4664B"/>
    <w:rsid w:val="00D50389"/>
    <w:rsid w:val="00D5117F"/>
    <w:rsid w:val="00D51850"/>
    <w:rsid w:val="00D57FE4"/>
    <w:rsid w:val="00D62309"/>
    <w:rsid w:val="00D63FDA"/>
    <w:rsid w:val="00D65C9C"/>
    <w:rsid w:val="00D671DA"/>
    <w:rsid w:val="00D74180"/>
    <w:rsid w:val="00D74EA8"/>
    <w:rsid w:val="00D76B8A"/>
    <w:rsid w:val="00D76CF0"/>
    <w:rsid w:val="00D76D1A"/>
    <w:rsid w:val="00D771B2"/>
    <w:rsid w:val="00D82DA2"/>
    <w:rsid w:val="00D83B1D"/>
    <w:rsid w:val="00D84C19"/>
    <w:rsid w:val="00D8541E"/>
    <w:rsid w:val="00D8583E"/>
    <w:rsid w:val="00D86389"/>
    <w:rsid w:val="00D8796E"/>
    <w:rsid w:val="00D93E47"/>
    <w:rsid w:val="00D94F2F"/>
    <w:rsid w:val="00D95A37"/>
    <w:rsid w:val="00DA11D0"/>
    <w:rsid w:val="00DA31FD"/>
    <w:rsid w:val="00DA5811"/>
    <w:rsid w:val="00DA613D"/>
    <w:rsid w:val="00DB1034"/>
    <w:rsid w:val="00DB1DA9"/>
    <w:rsid w:val="00DB21D0"/>
    <w:rsid w:val="00DC0F31"/>
    <w:rsid w:val="00DC1A47"/>
    <w:rsid w:val="00DC6236"/>
    <w:rsid w:val="00DC7CA0"/>
    <w:rsid w:val="00DD1E45"/>
    <w:rsid w:val="00DD22BB"/>
    <w:rsid w:val="00DD4B8B"/>
    <w:rsid w:val="00DD532C"/>
    <w:rsid w:val="00DE131B"/>
    <w:rsid w:val="00DE1D84"/>
    <w:rsid w:val="00DE49A5"/>
    <w:rsid w:val="00DE4B6A"/>
    <w:rsid w:val="00DE71BB"/>
    <w:rsid w:val="00DE77A4"/>
    <w:rsid w:val="00DE7834"/>
    <w:rsid w:val="00DF1EFB"/>
    <w:rsid w:val="00DF382C"/>
    <w:rsid w:val="00DF3D67"/>
    <w:rsid w:val="00DF4013"/>
    <w:rsid w:val="00DF40B8"/>
    <w:rsid w:val="00E0068B"/>
    <w:rsid w:val="00E00DA2"/>
    <w:rsid w:val="00E01A4C"/>
    <w:rsid w:val="00E021A0"/>
    <w:rsid w:val="00E02D4A"/>
    <w:rsid w:val="00E05565"/>
    <w:rsid w:val="00E06674"/>
    <w:rsid w:val="00E11683"/>
    <w:rsid w:val="00E1321E"/>
    <w:rsid w:val="00E158D7"/>
    <w:rsid w:val="00E21337"/>
    <w:rsid w:val="00E2326E"/>
    <w:rsid w:val="00E23F91"/>
    <w:rsid w:val="00E264D5"/>
    <w:rsid w:val="00E27602"/>
    <w:rsid w:val="00E32BBF"/>
    <w:rsid w:val="00E33114"/>
    <w:rsid w:val="00E33734"/>
    <w:rsid w:val="00E34103"/>
    <w:rsid w:val="00E3541C"/>
    <w:rsid w:val="00E357EF"/>
    <w:rsid w:val="00E36157"/>
    <w:rsid w:val="00E37B7E"/>
    <w:rsid w:val="00E423BA"/>
    <w:rsid w:val="00E50C38"/>
    <w:rsid w:val="00E52B2A"/>
    <w:rsid w:val="00E6146E"/>
    <w:rsid w:val="00E629FE"/>
    <w:rsid w:val="00E71E3B"/>
    <w:rsid w:val="00E721E2"/>
    <w:rsid w:val="00E74683"/>
    <w:rsid w:val="00E77455"/>
    <w:rsid w:val="00E85BE4"/>
    <w:rsid w:val="00E85E06"/>
    <w:rsid w:val="00E87833"/>
    <w:rsid w:val="00E9123B"/>
    <w:rsid w:val="00E95F8A"/>
    <w:rsid w:val="00EA2004"/>
    <w:rsid w:val="00EA3836"/>
    <w:rsid w:val="00EA44A7"/>
    <w:rsid w:val="00EA69FC"/>
    <w:rsid w:val="00EA6B8C"/>
    <w:rsid w:val="00EA6E17"/>
    <w:rsid w:val="00EA71A1"/>
    <w:rsid w:val="00EA7EBB"/>
    <w:rsid w:val="00EB2201"/>
    <w:rsid w:val="00EC4832"/>
    <w:rsid w:val="00EC504D"/>
    <w:rsid w:val="00EC58CD"/>
    <w:rsid w:val="00EC6F1E"/>
    <w:rsid w:val="00ED1F98"/>
    <w:rsid w:val="00ED2978"/>
    <w:rsid w:val="00ED4054"/>
    <w:rsid w:val="00ED637B"/>
    <w:rsid w:val="00ED7413"/>
    <w:rsid w:val="00EE06E3"/>
    <w:rsid w:val="00EE0AA4"/>
    <w:rsid w:val="00EE1A1E"/>
    <w:rsid w:val="00EE407A"/>
    <w:rsid w:val="00EE5B1E"/>
    <w:rsid w:val="00EE61E4"/>
    <w:rsid w:val="00EF040F"/>
    <w:rsid w:val="00EF2CC4"/>
    <w:rsid w:val="00EF470F"/>
    <w:rsid w:val="00EF6D1D"/>
    <w:rsid w:val="00F002E4"/>
    <w:rsid w:val="00F008C1"/>
    <w:rsid w:val="00F01FC7"/>
    <w:rsid w:val="00F030BA"/>
    <w:rsid w:val="00F0442B"/>
    <w:rsid w:val="00F10FB9"/>
    <w:rsid w:val="00F12688"/>
    <w:rsid w:val="00F12BB9"/>
    <w:rsid w:val="00F1357E"/>
    <w:rsid w:val="00F136D2"/>
    <w:rsid w:val="00F162C7"/>
    <w:rsid w:val="00F17C50"/>
    <w:rsid w:val="00F20AA0"/>
    <w:rsid w:val="00F24A7F"/>
    <w:rsid w:val="00F2550C"/>
    <w:rsid w:val="00F257E3"/>
    <w:rsid w:val="00F27715"/>
    <w:rsid w:val="00F2794D"/>
    <w:rsid w:val="00F30747"/>
    <w:rsid w:val="00F31626"/>
    <w:rsid w:val="00F346E2"/>
    <w:rsid w:val="00F36C2F"/>
    <w:rsid w:val="00F36DB1"/>
    <w:rsid w:val="00F37DC8"/>
    <w:rsid w:val="00F4031A"/>
    <w:rsid w:val="00F44ECE"/>
    <w:rsid w:val="00F453FE"/>
    <w:rsid w:val="00F474DC"/>
    <w:rsid w:val="00F55465"/>
    <w:rsid w:val="00F57742"/>
    <w:rsid w:val="00F61FD6"/>
    <w:rsid w:val="00F6459C"/>
    <w:rsid w:val="00F66E15"/>
    <w:rsid w:val="00F70ED8"/>
    <w:rsid w:val="00F726FC"/>
    <w:rsid w:val="00F72987"/>
    <w:rsid w:val="00F72CE8"/>
    <w:rsid w:val="00F82D8C"/>
    <w:rsid w:val="00F85BC6"/>
    <w:rsid w:val="00F874EA"/>
    <w:rsid w:val="00F90E19"/>
    <w:rsid w:val="00F90F8E"/>
    <w:rsid w:val="00FA05E5"/>
    <w:rsid w:val="00FA6E33"/>
    <w:rsid w:val="00FA73A5"/>
    <w:rsid w:val="00FA7DC9"/>
    <w:rsid w:val="00FB1952"/>
    <w:rsid w:val="00FB3E5E"/>
    <w:rsid w:val="00FC0D29"/>
    <w:rsid w:val="00FC421E"/>
    <w:rsid w:val="00FC5EF8"/>
    <w:rsid w:val="00FC736E"/>
    <w:rsid w:val="00FD20B2"/>
    <w:rsid w:val="00FD2BEA"/>
    <w:rsid w:val="00FD30EB"/>
    <w:rsid w:val="00FD399A"/>
    <w:rsid w:val="00FD4138"/>
    <w:rsid w:val="00FE02F3"/>
    <w:rsid w:val="00FE44CE"/>
    <w:rsid w:val="00FE724C"/>
    <w:rsid w:val="00FF2338"/>
    <w:rsid w:val="00FF23BF"/>
    <w:rsid w:val="00FF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34E931"/>
  <w15:docId w15:val="{E4469974-1B6B-4D64-86CB-E7AE83F5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1300"/>
    <w:rPr>
      <w:sz w:val="24"/>
      <w:szCs w:val="24"/>
    </w:rPr>
  </w:style>
  <w:style w:type="paragraph" w:styleId="Heading1">
    <w:name w:val="heading 1"/>
    <w:basedOn w:val="Normal"/>
    <w:next w:val="Normal"/>
    <w:qFormat/>
    <w:rsid w:val="00A81300"/>
    <w:pPr>
      <w:keepNext/>
      <w:ind w:right="180"/>
      <w:jc w:val="center"/>
      <w:outlineLvl w:val="0"/>
    </w:pPr>
    <w:rPr>
      <w:rFonts w:ascii="Albertus (W1)" w:hAnsi="Albertus (W1)" w:cs="Arial"/>
      <w:b/>
      <w:bCs/>
      <w:color w:val="000000"/>
      <w:sz w:val="22"/>
      <w:szCs w:val="22"/>
    </w:rPr>
  </w:style>
  <w:style w:type="paragraph" w:styleId="Heading2">
    <w:name w:val="heading 2"/>
    <w:basedOn w:val="Normal"/>
    <w:next w:val="Normal"/>
    <w:qFormat/>
    <w:rsid w:val="00A81300"/>
    <w:pPr>
      <w:keepNext/>
      <w:spacing w:after="60"/>
      <w:ind w:left="360" w:hanging="360"/>
      <w:jc w:val="center"/>
      <w:outlineLvl w:val="1"/>
    </w:pPr>
    <w:rPr>
      <w:b/>
      <w:bCs/>
      <w:smallCaps/>
      <w:color w:val="000000"/>
      <w:sz w:val="20"/>
      <w:szCs w:val="20"/>
    </w:rPr>
  </w:style>
  <w:style w:type="paragraph" w:styleId="Heading3">
    <w:name w:val="heading 3"/>
    <w:basedOn w:val="Normal"/>
    <w:next w:val="Normal"/>
    <w:qFormat/>
    <w:rsid w:val="00A81300"/>
    <w:pPr>
      <w:keepNext/>
      <w:spacing w:after="60"/>
      <w:jc w:val="center"/>
      <w:outlineLvl w:val="2"/>
    </w:pPr>
    <w:rPr>
      <w:bCs/>
      <w:smallCap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1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ocMbrRoster">
    <w:name w:val="Assoc Mbr Roster"/>
    <w:basedOn w:val="Normal"/>
    <w:rsid w:val="00A81300"/>
    <w:rPr>
      <w:sz w:val="20"/>
    </w:rPr>
  </w:style>
  <w:style w:type="paragraph" w:customStyle="1" w:styleId="NormalBlack">
    <w:name w:val="Normal + Black"/>
    <w:aliases w:val="Small caps,Centered,After:  4 pt"/>
    <w:basedOn w:val="Heading2"/>
    <w:rsid w:val="00A81300"/>
    <w:pPr>
      <w:spacing w:after="80"/>
    </w:pPr>
    <w:rPr>
      <w:b w:val="0"/>
      <w:bCs w:val="0"/>
      <w:color w:val="auto"/>
      <w:spacing w:val="20"/>
      <w:sz w:val="21"/>
    </w:rPr>
  </w:style>
  <w:style w:type="paragraph" w:customStyle="1" w:styleId="Heading312pt">
    <w:name w:val="Heading 3 + 12 pt"/>
    <w:aliases w:val="Bold,Expanded by  1 pt"/>
    <w:basedOn w:val="Heading2"/>
    <w:rsid w:val="00A81300"/>
    <w:rPr>
      <w:bCs w:val="0"/>
      <w:sz w:val="24"/>
      <w:szCs w:val="24"/>
    </w:rPr>
  </w:style>
  <w:style w:type="paragraph" w:styleId="ListParagraph">
    <w:name w:val="List Paragraph"/>
    <w:basedOn w:val="Normal"/>
    <w:qFormat/>
    <w:rsid w:val="00ED2978"/>
    <w:pPr>
      <w:spacing w:after="200" w:line="276" w:lineRule="auto"/>
      <w:ind w:left="720"/>
      <w:contextualSpacing/>
    </w:pPr>
    <w:rPr>
      <w:rFonts w:ascii="Calibri" w:hAnsi="Calibri"/>
      <w:sz w:val="22"/>
      <w:szCs w:val="22"/>
    </w:rPr>
  </w:style>
  <w:style w:type="character" w:styleId="Hyperlink">
    <w:name w:val="Hyperlink"/>
    <w:unhideWhenUsed/>
    <w:rsid w:val="00FA6E33"/>
    <w:rPr>
      <w:color w:val="0000FF"/>
      <w:u w:val="single"/>
    </w:rPr>
  </w:style>
  <w:style w:type="paragraph" w:styleId="Header">
    <w:name w:val="header"/>
    <w:basedOn w:val="Normal"/>
    <w:link w:val="HeaderChar"/>
    <w:rsid w:val="00D82DA2"/>
    <w:pPr>
      <w:tabs>
        <w:tab w:val="center" w:pos="4680"/>
        <w:tab w:val="right" w:pos="9360"/>
      </w:tabs>
    </w:pPr>
  </w:style>
  <w:style w:type="character" w:customStyle="1" w:styleId="HeaderChar">
    <w:name w:val="Header Char"/>
    <w:link w:val="Header"/>
    <w:rsid w:val="00D82DA2"/>
    <w:rPr>
      <w:sz w:val="24"/>
      <w:szCs w:val="24"/>
    </w:rPr>
  </w:style>
  <w:style w:type="paragraph" w:styleId="Footer">
    <w:name w:val="footer"/>
    <w:basedOn w:val="Normal"/>
    <w:link w:val="FooterChar"/>
    <w:uiPriority w:val="99"/>
    <w:rsid w:val="00D82DA2"/>
    <w:pPr>
      <w:tabs>
        <w:tab w:val="center" w:pos="4680"/>
        <w:tab w:val="right" w:pos="9360"/>
      </w:tabs>
    </w:pPr>
  </w:style>
  <w:style w:type="character" w:customStyle="1" w:styleId="FooterChar">
    <w:name w:val="Footer Char"/>
    <w:link w:val="Footer"/>
    <w:uiPriority w:val="99"/>
    <w:rsid w:val="00D82DA2"/>
    <w:rPr>
      <w:sz w:val="24"/>
      <w:szCs w:val="24"/>
    </w:rPr>
  </w:style>
  <w:style w:type="paragraph" w:styleId="BalloonText">
    <w:name w:val="Balloon Text"/>
    <w:basedOn w:val="Normal"/>
    <w:link w:val="BalloonTextChar"/>
    <w:rsid w:val="000E2875"/>
    <w:rPr>
      <w:rFonts w:ascii="Tahoma" w:hAnsi="Tahoma" w:cs="Tahoma"/>
      <w:sz w:val="16"/>
      <w:szCs w:val="16"/>
    </w:rPr>
  </w:style>
  <w:style w:type="character" w:customStyle="1" w:styleId="BalloonTextChar">
    <w:name w:val="Balloon Text Char"/>
    <w:basedOn w:val="DefaultParagraphFont"/>
    <w:link w:val="BalloonText"/>
    <w:rsid w:val="000E2875"/>
    <w:rPr>
      <w:rFonts w:ascii="Tahoma" w:hAnsi="Tahoma" w:cs="Tahoma"/>
      <w:sz w:val="16"/>
      <w:szCs w:val="16"/>
    </w:rPr>
  </w:style>
  <w:style w:type="paragraph" w:customStyle="1" w:styleId="Default">
    <w:name w:val="Default"/>
    <w:rsid w:val="00AC1DBD"/>
    <w:pPr>
      <w:autoSpaceDE w:val="0"/>
      <w:autoSpaceDN w:val="0"/>
      <w:adjustRightInd w:val="0"/>
    </w:pPr>
    <w:rPr>
      <w:rFonts w:ascii="Calibri" w:eastAsiaTheme="minorHAnsi" w:hAnsi="Calibri" w:cs="Calibri"/>
      <w:color w:val="000000"/>
      <w:sz w:val="24"/>
      <w:szCs w:val="24"/>
    </w:rPr>
  </w:style>
  <w:style w:type="paragraph" w:styleId="NoSpacing">
    <w:name w:val="No Spacing"/>
    <w:uiPriority w:val="1"/>
    <w:qFormat/>
    <w:rsid w:val="00102C37"/>
    <w:rPr>
      <w:rFonts w:asciiTheme="minorHAnsi" w:eastAsiaTheme="minorHAnsi" w:hAnsiTheme="minorHAnsi" w:cstheme="minorBidi"/>
      <w:sz w:val="22"/>
      <w:szCs w:val="22"/>
    </w:rPr>
  </w:style>
  <w:style w:type="paragraph" w:styleId="BodyText">
    <w:name w:val="Body Text"/>
    <w:basedOn w:val="Normal"/>
    <w:link w:val="BodyTextChar"/>
    <w:uiPriority w:val="1"/>
    <w:qFormat/>
    <w:rsid w:val="00173864"/>
    <w:pPr>
      <w:widowControl w:val="0"/>
      <w:autoSpaceDE w:val="0"/>
      <w:autoSpaceDN w:val="0"/>
    </w:pPr>
    <w:rPr>
      <w:sz w:val="23"/>
      <w:szCs w:val="23"/>
    </w:rPr>
  </w:style>
  <w:style w:type="character" w:customStyle="1" w:styleId="BodyTextChar">
    <w:name w:val="Body Text Char"/>
    <w:basedOn w:val="DefaultParagraphFont"/>
    <w:link w:val="BodyText"/>
    <w:uiPriority w:val="1"/>
    <w:rsid w:val="00173864"/>
    <w:rPr>
      <w:sz w:val="23"/>
      <w:szCs w:val="23"/>
    </w:rPr>
  </w:style>
  <w:style w:type="character" w:styleId="FootnoteReference">
    <w:name w:val="footnote reference"/>
    <w:uiPriority w:val="99"/>
    <w:semiHidden/>
    <w:rsid w:val="00EC4832"/>
  </w:style>
  <w:style w:type="paragraph" w:styleId="FootnoteText">
    <w:name w:val="footnote text"/>
    <w:basedOn w:val="Normal"/>
    <w:link w:val="FootnoteTextChar"/>
    <w:uiPriority w:val="99"/>
    <w:semiHidden/>
    <w:unhideWhenUsed/>
    <w:rsid w:val="00EC483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C4832"/>
    <w:rPr>
      <w:rFonts w:asciiTheme="minorHAnsi" w:eastAsiaTheme="minorHAnsi" w:hAnsiTheme="minorHAnsi" w:cstheme="minorBidi"/>
    </w:rPr>
  </w:style>
  <w:style w:type="character" w:styleId="Emphasis">
    <w:name w:val="Emphasis"/>
    <w:basedOn w:val="DefaultParagraphFont"/>
    <w:qFormat/>
    <w:rsid w:val="00D76B8A"/>
    <w:rPr>
      <w:i/>
      <w:iCs/>
    </w:rPr>
  </w:style>
  <w:style w:type="paragraph" w:styleId="NormalWeb">
    <w:name w:val="Normal (Web)"/>
    <w:basedOn w:val="Normal"/>
    <w:uiPriority w:val="99"/>
    <w:semiHidden/>
    <w:unhideWhenUsed/>
    <w:rsid w:val="00EE1A1E"/>
    <w:pPr>
      <w:spacing w:before="100" w:beforeAutospacing="1" w:after="100" w:afterAutospacing="1"/>
    </w:pPr>
  </w:style>
  <w:style w:type="character" w:styleId="FollowedHyperlink">
    <w:name w:val="FollowedHyperlink"/>
    <w:basedOn w:val="DefaultParagraphFont"/>
    <w:semiHidden/>
    <w:unhideWhenUsed/>
    <w:rsid w:val="002E4B8A"/>
    <w:rPr>
      <w:color w:val="800080" w:themeColor="followedHyperlink"/>
      <w:u w:val="single"/>
    </w:rPr>
  </w:style>
  <w:style w:type="character" w:styleId="UnresolvedMention">
    <w:name w:val="Unresolved Mention"/>
    <w:basedOn w:val="DefaultParagraphFont"/>
    <w:uiPriority w:val="99"/>
    <w:semiHidden/>
    <w:unhideWhenUsed/>
    <w:rsid w:val="00344241"/>
    <w:rPr>
      <w:color w:val="605E5C"/>
      <w:shd w:val="clear" w:color="auto" w:fill="E1DFDD"/>
    </w:rPr>
  </w:style>
  <w:style w:type="character" w:styleId="Strong">
    <w:name w:val="Strong"/>
    <w:basedOn w:val="DefaultParagraphFont"/>
    <w:uiPriority w:val="22"/>
    <w:qFormat/>
    <w:rsid w:val="00AA19AB"/>
    <w:rPr>
      <w:b/>
      <w:bCs/>
    </w:rPr>
  </w:style>
  <w:style w:type="character" w:customStyle="1" w:styleId="apple-converted-space">
    <w:name w:val="apple-converted-space"/>
    <w:basedOn w:val="DefaultParagraphFont"/>
    <w:rsid w:val="00AA1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51934">
      <w:bodyDiv w:val="1"/>
      <w:marLeft w:val="0"/>
      <w:marRight w:val="0"/>
      <w:marTop w:val="0"/>
      <w:marBottom w:val="0"/>
      <w:divBdr>
        <w:top w:val="none" w:sz="0" w:space="0" w:color="auto"/>
        <w:left w:val="none" w:sz="0" w:space="0" w:color="auto"/>
        <w:bottom w:val="none" w:sz="0" w:space="0" w:color="auto"/>
        <w:right w:val="none" w:sz="0" w:space="0" w:color="auto"/>
      </w:divBdr>
    </w:div>
    <w:div w:id="89474481">
      <w:bodyDiv w:val="1"/>
      <w:marLeft w:val="0"/>
      <w:marRight w:val="0"/>
      <w:marTop w:val="0"/>
      <w:marBottom w:val="0"/>
      <w:divBdr>
        <w:top w:val="none" w:sz="0" w:space="0" w:color="auto"/>
        <w:left w:val="none" w:sz="0" w:space="0" w:color="auto"/>
        <w:bottom w:val="none" w:sz="0" w:space="0" w:color="auto"/>
        <w:right w:val="none" w:sz="0" w:space="0" w:color="auto"/>
      </w:divBdr>
    </w:div>
    <w:div w:id="340281406">
      <w:bodyDiv w:val="1"/>
      <w:marLeft w:val="0"/>
      <w:marRight w:val="0"/>
      <w:marTop w:val="0"/>
      <w:marBottom w:val="0"/>
      <w:divBdr>
        <w:top w:val="none" w:sz="0" w:space="0" w:color="auto"/>
        <w:left w:val="none" w:sz="0" w:space="0" w:color="auto"/>
        <w:bottom w:val="none" w:sz="0" w:space="0" w:color="auto"/>
        <w:right w:val="none" w:sz="0" w:space="0" w:color="auto"/>
      </w:divBdr>
    </w:div>
    <w:div w:id="381055428">
      <w:bodyDiv w:val="1"/>
      <w:marLeft w:val="0"/>
      <w:marRight w:val="0"/>
      <w:marTop w:val="0"/>
      <w:marBottom w:val="0"/>
      <w:divBdr>
        <w:top w:val="none" w:sz="0" w:space="0" w:color="auto"/>
        <w:left w:val="none" w:sz="0" w:space="0" w:color="auto"/>
        <w:bottom w:val="none" w:sz="0" w:space="0" w:color="auto"/>
        <w:right w:val="none" w:sz="0" w:space="0" w:color="auto"/>
      </w:divBdr>
    </w:div>
    <w:div w:id="655959710">
      <w:bodyDiv w:val="1"/>
      <w:marLeft w:val="0"/>
      <w:marRight w:val="0"/>
      <w:marTop w:val="0"/>
      <w:marBottom w:val="0"/>
      <w:divBdr>
        <w:top w:val="none" w:sz="0" w:space="0" w:color="auto"/>
        <w:left w:val="none" w:sz="0" w:space="0" w:color="auto"/>
        <w:bottom w:val="none" w:sz="0" w:space="0" w:color="auto"/>
        <w:right w:val="none" w:sz="0" w:space="0" w:color="auto"/>
      </w:divBdr>
      <w:divsChild>
        <w:div w:id="1604263782">
          <w:marLeft w:val="0"/>
          <w:marRight w:val="0"/>
          <w:marTop w:val="0"/>
          <w:marBottom w:val="0"/>
          <w:divBdr>
            <w:top w:val="none" w:sz="0" w:space="0" w:color="auto"/>
            <w:left w:val="none" w:sz="0" w:space="0" w:color="auto"/>
            <w:bottom w:val="none" w:sz="0" w:space="0" w:color="auto"/>
            <w:right w:val="none" w:sz="0" w:space="0" w:color="auto"/>
          </w:divBdr>
          <w:divsChild>
            <w:div w:id="518475207">
              <w:marLeft w:val="0"/>
              <w:marRight w:val="0"/>
              <w:marTop w:val="0"/>
              <w:marBottom w:val="0"/>
              <w:divBdr>
                <w:top w:val="none" w:sz="0" w:space="0" w:color="auto"/>
                <w:left w:val="none" w:sz="0" w:space="0" w:color="auto"/>
                <w:bottom w:val="none" w:sz="0" w:space="0" w:color="auto"/>
                <w:right w:val="none" w:sz="0" w:space="0" w:color="auto"/>
              </w:divBdr>
              <w:divsChild>
                <w:div w:id="1194540964">
                  <w:marLeft w:val="0"/>
                  <w:marRight w:val="0"/>
                  <w:marTop w:val="0"/>
                  <w:marBottom w:val="0"/>
                  <w:divBdr>
                    <w:top w:val="none" w:sz="0" w:space="0" w:color="auto"/>
                    <w:left w:val="none" w:sz="0" w:space="0" w:color="auto"/>
                    <w:bottom w:val="none" w:sz="0" w:space="0" w:color="auto"/>
                    <w:right w:val="none" w:sz="0" w:space="0" w:color="auto"/>
                  </w:divBdr>
                  <w:divsChild>
                    <w:div w:id="191870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s://webstore.ansi.org/preview-pages/NEMA/preview_ANSI+NEMA+SC+1-2019.pdf" TargetMode="External"/><Relationship Id="rId2" Type="http://schemas.openxmlformats.org/officeDocument/2006/relationships/hyperlink" Target="https://www.facs.org/about-acs/statements/91-industry-reps-in-or" TargetMode="External"/><Relationship Id="rId1" Type="http://schemas.openxmlformats.org/officeDocument/2006/relationships/hyperlink" Target="https://aornjournal.onlinelibrary.wiley.com/doi/full/10.1002/aorn.13065" TargetMode="External"/><Relationship Id="rId5" Type="http://schemas.openxmlformats.org/officeDocument/2006/relationships/hyperlink" Target="https://doi.org/10.17226/25917" TargetMode="External"/><Relationship Id="rId4" Type="http://schemas.openxmlformats.org/officeDocument/2006/relationships/hyperlink" Target="https://www.medicalimaging.org/wp-content/uploads/2020/05/20.05.05-Final_MITA-Credentialing-Standard-Release-DRAFT.docx-CLEAN-002-copy-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48639-7183-F642-8396-3DAD3794E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PLATINUM LEADERS</vt:lpstr>
    </vt:vector>
  </TitlesOfParts>
  <Company>WBBA</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PLATINUM LEADERS</dc:title>
  <dc:creator>Megan Jeffrey</dc:creator>
  <cp:lastModifiedBy>Marc Cummings</cp:lastModifiedBy>
  <cp:revision>16</cp:revision>
  <cp:lastPrinted>2020-12-09T21:43:00Z</cp:lastPrinted>
  <dcterms:created xsi:type="dcterms:W3CDTF">2020-12-06T21:44:00Z</dcterms:created>
  <dcterms:modified xsi:type="dcterms:W3CDTF">2020-12-09T21:48:00Z</dcterms:modified>
</cp:coreProperties>
</file>